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D266" w14:textId="77777777" w:rsidR="00CB5AF9" w:rsidRPr="00CC6DCE" w:rsidRDefault="00CB5AF9" w:rsidP="00CC6DCE">
      <w:pPr>
        <w:pStyle w:val="Heading5"/>
        <w:spacing w:line="276" w:lineRule="auto"/>
        <w:rPr>
          <w:rFonts w:ascii="Arial" w:hAnsi="Arial"/>
          <w:sz w:val="24"/>
          <w:szCs w:val="24"/>
          <w:u w:val="none"/>
        </w:rPr>
      </w:pPr>
      <w:r w:rsidRPr="00CC6DCE">
        <w:rPr>
          <w:rFonts w:ascii="Arial" w:hAnsi="Arial"/>
          <w:sz w:val="24"/>
          <w:szCs w:val="24"/>
          <w:u w:val="none"/>
        </w:rPr>
        <w:t xml:space="preserve">Meeting of the </w:t>
      </w:r>
      <w:r w:rsidR="005150C1" w:rsidRPr="00CC6DCE">
        <w:rPr>
          <w:rFonts w:ascii="Arial" w:hAnsi="Arial"/>
          <w:sz w:val="24"/>
          <w:szCs w:val="24"/>
          <w:u w:val="none"/>
        </w:rPr>
        <w:t>County</w:t>
      </w:r>
      <w:r w:rsidRPr="00CC6DCE">
        <w:rPr>
          <w:rFonts w:ascii="Arial" w:hAnsi="Arial"/>
          <w:sz w:val="24"/>
          <w:szCs w:val="24"/>
          <w:u w:val="none"/>
        </w:rPr>
        <w:t xml:space="preserve"> Council</w:t>
      </w:r>
    </w:p>
    <w:p w14:paraId="6B4F470D" w14:textId="55477312" w:rsidR="00CB5AF9" w:rsidRPr="00CC6DCE" w:rsidRDefault="00DD1F36" w:rsidP="00CC6DCE">
      <w:pPr>
        <w:pStyle w:val="Heading5"/>
        <w:spacing w:line="276" w:lineRule="auto"/>
        <w:rPr>
          <w:rFonts w:ascii="Arial" w:hAnsi="Arial"/>
          <w:sz w:val="24"/>
          <w:szCs w:val="24"/>
          <w:u w:val="none"/>
        </w:rPr>
      </w:pPr>
      <w:r w:rsidRPr="00CC6DCE">
        <w:rPr>
          <w:rFonts w:ascii="Arial" w:hAnsi="Arial"/>
          <w:sz w:val="24"/>
          <w:szCs w:val="24"/>
          <w:u w:val="none"/>
        </w:rPr>
        <w:t xml:space="preserve">Meeting to be held on </w:t>
      </w:r>
      <w:r w:rsidR="00722079" w:rsidRPr="00CC6DCE">
        <w:rPr>
          <w:rFonts w:ascii="Arial" w:hAnsi="Arial"/>
          <w:sz w:val="24"/>
          <w:szCs w:val="24"/>
          <w:u w:val="none"/>
        </w:rPr>
        <w:t>1</w:t>
      </w:r>
      <w:r w:rsidR="00D50DDA" w:rsidRPr="00CC6DCE">
        <w:rPr>
          <w:rFonts w:ascii="Arial" w:hAnsi="Arial"/>
          <w:sz w:val="24"/>
          <w:szCs w:val="24"/>
          <w:u w:val="none"/>
        </w:rPr>
        <w:t>1</w:t>
      </w:r>
      <w:r w:rsidR="00BE1843" w:rsidRPr="00CC6DCE">
        <w:rPr>
          <w:rFonts w:ascii="Arial" w:hAnsi="Arial"/>
          <w:sz w:val="24"/>
          <w:szCs w:val="24"/>
          <w:u w:val="none"/>
        </w:rPr>
        <w:t xml:space="preserve"> February 20</w:t>
      </w:r>
      <w:r w:rsidR="00655BC0" w:rsidRPr="00CC6DCE">
        <w:rPr>
          <w:rFonts w:ascii="Arial" w:hAnsi="Arial"/>
          <w:sz w:val="24"/>
          <w:szCs w:val="24"/>
          <w:u w:val="none"/>
        </w:rPr>
        <w:t>1</w:t>
      </w:r>
      <w:r w:rsidR="00D50DDA" w:rsidRPr="00CC6DCE">
        <w:rPr>
          <w:rFonts w:ascii="Arial" w:hAnsi="Arial"/>
          <w:sz w:val="24"/>
          <w:szCs w:val="24"/>
          <w:u w:val="none"/>
        </w:rPr>
        <w:t>6</w:t>
      </w:r>
      <w:r w:rsidR="00CB5AF9" w:rsidRPr="00CC6DCE">
        <w:rPr>
          <w:rFonts w:ascii="Arial" w:hAnsi="Arial"/>
          <w:sz w:val="24"/>
          <w:szCs w:val="24"/>
          <w:u w:val="none"/>
        </w:rPr>
        <w:t xml:space="preserve"> </w:t>
      </w:r>
    </w:p>
    <w:p w14:paraId="5B65C02C" w14:textId="77777777" w:rsidR="00A77CA9" w:rsidRPr="00CC6DCE" w:rsidRDefault="00A77CA9" w:rsidP="00CC6DCE">
      <w:pPr>
        <w:spacing w:line="276" w:lineRule="auto"/>
        <w:rPr>
          <w:szCs w:val="24"/>
          <w:lang w:val="en-US"/>
        </w:rPr>
      </w:pPr>
    </w:p>
    <w:p w14:paraId="698A3AF6" w14:textId="77777777" w:rsidR="00655BC0" w:rsidRPr="00CC6DCE" w:rsidRDefault="00655BC0" w:rsidP="00CC6DCE">
      <w:pPr>
        <w:pStyle w:val="Header"/>
        <w:spacing w:line="276" w:lineRule="auto"/>
        <w:rPr>
          <w:rFonts w:ascii="Arial" w:hAnsi="Arial"/>
          <w:sz w:val="24"/>
          <w:szCs w:val="24"/>
        </w:rPr>
      </w:pPr>
      <w:r w:rsidRPr="00CC6DCE">
        <w:rPr>
          <w:rFonts w:ascii="Arial" w:hAnsi="Arial"/>
          <w:sz w:val="24"/>
          <w:szCs w:val="24"/>
        </w:rPr>
        <w:t>Report submitted by the Cabinet</w:t>
      </w:r>
    </w:p>
    <w:p w14:paraId="7704ED8B" w14:textId="77777777" w:rsidR="00655BC0" w:rsidRPr="00CC6DCE" w:rsidRDefault="00655BC0" w:rsidP="00CC6DCE">
      <w:pPr>
        <w:spacing w:line="276" w:lineRule="auto"/>
        <w:rPr>
          <w:szCs w:val="24"/>
          <w:lang w:val="en-US"/>
        </w:rPr>
      </w:pPr>
    </w:p>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CB5AF9" w:rsidRPr="00CC6DCE" w14:paraId="64144588" w14:textId="77777777" w:rsidTr="005301A7">
        <w:trPr>
          <w:trHeight w:val="222"/>
        </w:trPr>
        <w:tc>
          <w:tcPr>
            <w:tcW w:w="1134" w:type="dxa"/>
          </w:tcPr>
          <w:p w14:paraId="1319E935" w14:textId="77777777" w:rsidR="00CB5AF9" w:rsidRPr="00CC6DCE" w:rsidRDefault="00CB5AF9" w:rsidP="00CC6DCE">
            <w:pPr>
              <w:spacing w:line="276" w:lineRule="auto"/>
              <w:rPr>
                <w:b/>
                <w:szCs w:val="24"/>
              </w:rPr>
            </w:pPr>
            <w:r w:rsidRPr="00CC6DCE">
              <w:rPr>
                <w:b/>
                <w:szCs w:val="24"/>
              </w:rPr>
              <w:t xml:space="preserve">Part A </w:t>
            </w:r>
          </w:p>
        </w:tc>
      </w:tr>
    </w:tbl>
    <w:p w14:paraId="78BC63D8" w14:textId="77777777" w:rsidR="00CB5AF9" w:rsidRPr="00CC6DCE" w:rsidRDefault="00CB5AF9" w:rsidP="00CC6DCE">
      <w:pPr>
        <w:spacing w:line="276" w:lineRule="auto"/>
        <w:rPr>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B5AF9" w:rsidRPr="00CC6DCE" w14:paraId="284280A6" w14:textId="77777777">
        <w:tc>
          <w:tcPr>
            <w:tcW w:w="3402" w:type="dxa"/>
          </w:tcPr>
          <w:p w14:paraId="6E4F55D2" w14:textId="77777777" w:rsidR="00CB5AF9" w:rsidRPr="00CC6DCE" w:rsidRDefault="00CB5AF9" w:rsidP="00CC6DCE">
            <w:pPr>
              <w:pStyle w:val="BodyText"/>
              <w:spacing w:line="276" w:lineRule="auto"/>
              <w:rPr>
                <w:szCs w:val="24"/>
              </w:rPr>
            </w:pPr>
            <w:r w:rsidRPr="00CC6DCE">
              <w:rPr>
                <w:szCs w:val="24"/>
              </w:rPr>
              <w:t>Electoral Division affected:</w:t>
            </w:r>
          </w:p>
          <w:p w14:paraId="749C38F8" w14:textId="77777777" w:rsidR="00CB5AF9" w:rsidRPr="00CC6DCE" w:rsidRDefault="00CB5AF9" w:rsidP="00CC6DCE">
            <w:pPr>
              <w:spacing w:line="276" w:lineRule="auto"/>
              <w:ind w:right="-250"/>
              <w:rPr>
                <w:szCs w:val="24"/>
              </w:rPr>
            </w:pPr>
            <w:r w:rsidRPr="00CC6DCE">
              <w:rPr>
                <w:szCs w:val="24"/>
              </w:rPr>
              <w:t>All</w:t>
            </w:r>
          </w:p>
        </w:tc>
      </w:tr>
    </w:tbl>
    <w:p w14:paraId="1A4E3234" w14:textId="77777777" w:rsidR="00CB5AF9" w:rsidRPr="00CC6DCE" w:rsidRDefault="00CB5AF9" w:rsidP="00CC6DCE">
      <w:pPr>
        <w:pStyle w:val="Heading1"/>
        <w:spacing w:line="276" w:lineRule="auto"/>
        <w:rPr>
          <w:szCs w:val="24"/>
        </w:rPr>
      </w:pPr>
    </w:p>
    <w:p w14:paraId="44E8BCD2" w14:textId="456CA177" w:rsidR="00CB5AF9" w:rsidRPr="00CC6DCE" w:rsidRDefault="00CB5AF9" w:rsidP="00AF5311">
      <w:pPr>
        <w:pStyle w:val="Header"/>
        <w:rPr>
          <w:rFonts w:ascii="Arial" w:hAnsi="Arial"/>
          <w:b/>
          <w:sz w:val="24"/>
          <w:szCs w:val="24"/>
        </w:rPr>
      </w:pPr>
      <w:r w:rsidRPr="00CC6DCE">
        <w:rPr>
          <w:rFonts w:ascii="Arial" w:hAnsi="Arial"/>
          <w:b/>
          <w:sz w:val="24"/>
          <w:szCs w:val="24"/>
        </w:rPr>
        <w:t>Revenue Budget 20</w:t>
      </w:r>
      <w:r w:rsidR="00655BC0" w:rsidRPr="00CC6DCE">
        <w:rPr>
          <w:rFonts w:ascii="Arial" w:hAnsi="Arial"/>
          <w:b/>
          <w:sz w:val="24"/>
          <w:szCs w:val="24"/>
        </w:rPr>
        <w:t>1</w:t>
      </w:r>
      <w:r w:rsidR="00D50DDA" w:rsidRPr="00CC6DCE">
        <w:rPr>
          <w:rFonts w:ascii="Arial" w:hAnsi="Arial"/>
          <w:b/>
          <w:sz w:val="24"/>
          <w:szCs w:val="24"/>
        </w:rPr>
        <w:t>6</w:t>
      </w:r>
      <w:r w:rsidR="00722079" w:rsidRPr="00CC6DCE">
        <w:rPr>
          <w:rFonts w:ascii="Arial" w:hAnsi="Arial"/>
          <w:b/>
          <w:sz w:val="24"/>
          <w:szCs w:val="24"/>
        </w:rPr>
        <w:t>/1</w:t>
      </w:r>
      <w:r w:rsidR="00D50DDA" w:rsidRPr="00CC6DCE">
        <w:rPr>
          <w:rFonts w:ascii="Arial" w:hAnsi="Arial"/>
          <w:b/>
          <w:sz w:val="24"/>
          <w:szCs w:val="24"/>
        </w:rPr>
        <w:t>7</w:t>
      </w:r>
      <w:r w:rsidR="00004ACB" w:rsidRPr="00CC6DCE">
        <w:rPr>
          <w:rFonts w:ascii="Arial" w:hAnsi="Arial"/>
          <w:b/>
          <w:sz w:val="24"/>
          <w:szCs w:val="24"/>
        </w:rPr>
        <w:t xml:space="preserve"> and Financial Strategy 201</w:t>
      </w:r>
      <w:r w:rsidR="00D50DDA" w:rsidRPr="00CC6DCE">
        <w:rPr>
          <w:rFonts w:ascii="Arial" w:hAnsi="Arial"/>
          <w:b/>
          <w:sz w:val="24"/>
          <w:szCs w:val="24"/>
        </w:rPr>
        <w:t>7</w:t>
      </w:r>
      <w:r w:rsidR="00004ACB" w:rsidRPr="00CC6DCE">
        <w:rPr>
          <w:rFonts w:ascii="Arial" w:hAnsi="Arial"/>
          <w:b/>
          <w:sz w:val="24"/>
          <w:szCs w:val="24"/>
        </w:rPr>
        <w:t>/1</w:t>
      </w:r>
      <w:r w:rsidR="00D50DDA" w:rsidRPr="00CC6DCE">
        <w:rPr>
          <w:rFonts w:ascii="Arial" w:hAnsi="Arial"/>
          <w:b/>
          <w:sz w:val="24"/>
          <w:szCs w:val="24"/>
        </w:rPr>
        <w:t>8</w:t>
      </w:r>
      <w:r w:rsidR="00004ACB" w:rsidRPr="00CC6DCE">
        <w:rPr>
          <w:rFonts w:ascii="Arial" w:hAnsi="Arial"/>
          <w:b/>
          <w:sz w:val="24"/>
          <w:szCs w:val="24"/>
        </w:rPr>
        <w:t xml:space="preserve"> to 201</w:t>
      </w:r>
      <w:r w:rsidR="00D50DDA" w:rsidRPr="00CC6DCE">
        <w:rPr>
          <w:rFonts w:ascii="Arial" w:hAnsi="Arial"/>
          <w:b/>
          <w:sz w:val="24"/>
          <w:szCs w:val="24"/>
        </w:rPr>
        <w:t>9</w:t>
      </w:r>
      <w:r w:rsidR="00004ACB" w:rsidRPr="00CC6DCE">
        <w:rPr>
          <w:rFonts w:ascii="Arial" w:hAnsi="Arial"/>
          <w:b/>
          <w:sz w:val="24"/>
          <w:szCs w:val="24"/>
        </w:rPr>
        <w:t>/</w:t>
      </w:r>
      <w:r w:rsidR="00D50DDA" w:rsidRPr="00CC6DCE">
        <w:rPr>
          <w:rFonts w:ascii="Arial" w:hAnsi="Arial"/>
          <w:b/>
          <w:sz w:val="24"/>
          <w:szCs w:val="24"/>
        </w:rPr>
        <w:t>20</w:t>
      </w:r>
    </w:p>
    <w:p w14:paraId="420710D4" w14:textId="10D40193" w:rsidR="00CB5AF9" w:rsidRPr="00CC6DCE" w:rsidRDefault="00D23DD7" w:rsidP="00AF5311">
      <w:pPr>
        <w:pStyle w:val="Header"/>
        <w:rPr>
          <w:rFonts w:ascii="Arial" w:hAnsi="Arial" w:cs="Arial"/>
          <w:b/>
          <w:sz w:val="24"/>
          <w:szCs w:val="24"/>
        </w:rPr>
      </w:pPr>
      <w:r w:rsidRPr="00CC6DCE">
        <w:rPr>
          <w:rFonts w:ascii="Arial" w:hAnsi="Arial" w:cs="Arial"/>
          <w:b/>
          <w:sz w:val="24"/>
          <w:szCs w:val="24"/>
        </w:rPr>
        <w:t xml:space="preserve">Capital Investment </w:t>
      </w:r>
      <w:r w:rsidR="00004ACB" w:rsidRPr="00CC6DCE">
        <w:rPr>
          <w:rFonts w:ascii="Arial" w:hAnsi="Arial" w:cs="Arial"/>
          <w:b/>
          <w:sz w:val="24"/>
          <w:szCs w:val="24"/>
        </w:rPr>
        <w:t>Programme</w:t>
      </w:r>
      <w:r w:rsidRPr="00CC6DCE">
        <w:rPr>
          <w:rFonts w:ascii="Arial" w:hAnsi="Arial" w:cs="Arial"/>
          <w:b/>
          <w:sz w:val="24"/>
          <w:szCs w:val="24"/>
        </w:rPr>
        <w:t xml:space="preserve"> 20</w:t>
      </w:r>
      <w:r w:rsidR="00DD1F36" w:rsidRPr="00CC6DCE">
        <w:rPr>
          <w:rFonts w:ascii="Arial" w:hAnsi="Arial" w:cs="Arial"/>
          <w:b/>
          <w:sz w:val="24"/>
          <w:szCs w:val="24"/>
        </w:rPr>
        <w:t>1</w:t>
      </w:r>
      <w:r w:rsidR="00D50DDA" w:rsidRPr="00CC6DCE">
        <w:rPr>
          <w:rFonts w:ascii="Arial" w:hAnsi="Arial" w:cs="Arial"/>
          <w:b/>
          <w:sz w:val="24"/>
          <w:szCs w:val="24"/>
        </w:rPr>
        <w:t>6</w:t>
      </w:r>
      <w:r w:rsidR="00722079" w:rsidRPr="00CC6DCE">
        <w:rPr>
          <w:rFonts w:ascii="Arial" w:hAnsi="Arial" w:cs="Arial"/>
          <w:b/>
          <w:sz w:val="24"/>
          <w:szCs w:val="24"/>
        </w:rPr>
        <w:t>/1</w:t>
      </w:r>
      <w:r w:rsidR="00D50DDA" w:rsidRPr="00CC6DCE">
        <w:rPr>
          <w:rFonts w:ascii="Arial" w:hAnsi="Arial" w:cs="Arial"/>
          <w:b/>
          <w:sz w:val="24"/>
          <w:szCs w:val="24"/>
        </w:rPr>
        <w:t>7</w:t>
      </w:r>
      <w:r w:rsidR="00DD1F36" w:rsidRPr="00CC6DCE">
        <w:rPr>
          <w:rFonts w:ascii="Arial" w:hAnsi="Arial" w:cs="Arial"/>
          <w:b/>
          <w:sz w:val="24"/>
          <w:szCs w:val="24"/>
        </w:rPr>
        <w:t xml:space="preserve"> and </w:t>
      </w:r>
      <w:r w:rsidR="00004ACB" w:rsidRPr="00CC6DCE">
        <w:rPr>
          <w:rFonts w:ascii="Arial" w:hAnsi="Arial" w:cs="Arial"/>
          <w:b/>
          <w:sz w:val="24"/>
          <w:szCs w:val="24"/>
        </w:rPr>
        <w:t>beyond</w:t>
      </w:r>
    </w:p>
    <w:p w14:paraId="72B3832D" w14:textId="31EDE127" w:rsidR="00004ACB" w:rsidRPr="00CC6DCE" w:rsidRDefault="00004ACB" w:rsidP="00AF5311">
      <w:pPr>
        <w:pStyle w:val="Header"/>
        <w:rPr>
          <w:rFonts w:ascii="Arial" w:hAnsi="Arial"/>
          <w:b/>
          <w:sz w:val="24"/>
          <w:szCs w:val="24"/>
        </w:rPr>
      </w:pPr>
      <w:r w:rsidRPr="00CC6DCE">
        <w:rPr>
          <w:rFonts w:ascii="Arial" w:hAnsi="Arial"/>
          <w:b/>
          <w:sz w:val="24"/>
          <w:szCs w:val="24"/>
        </w:rPr>
        <w:t>Council Tax and Precept 201</w:t>
      </w:r>
      <w:r w:rsidR="00D50DDA" w:rsidRPr="00CC6DCE">
        <w:rPr>
          <w:rFonts w:ascii="Arial" w:hAnsi="Arial"/>
          <w:b/>
          <w:sz w:val="24"/>
          <w:szCs w:val="24"/>
        </w:rPr>
        <w:t>6</w:t>
      </w:r>
      <w:r w:rsidRPr="00CC6DCE">
        <w:rPr>
          <w:rFonts w:ascii="Arial" w:hAnsi="Arial"/>
          <w:b/>
          <w:sz w:val="24"/>
          <w:szCs w:val="24"/>
        </w:rPr>
        <w:t>/1</w:t>
      </w:r>
      <w:r w:rsidR="00D50DDA" w:rsidRPr="00CC6DCE">
        <w:rPr>
          <w:rFonts w:ascii="Arial" w:hAnsi="Arial"/>
          <w:b/>
          <w:sz w:val="24"/>
          <w:szCs w:val="24"/>
        </w:rPr>
        <w:t>7</w:t>
      </w:r>
    </w:p>
    <w:p w14:paraId="241D7CCB" w14:textId="08937F46" w:rsidR="00202A46" w:rsidRPr="00CC6DCE" w:rsidRDefault="00202A46" w:rsidP="00AF5311">
      <w:pPr>
        <w:rPr>
          <w:szCs w:val="24"/>
        </w:rPr>
      </w:pPr>
      <w:r w:rsidRPr="00CC6DCE">
        <w:rPr>
          <w:szCs w:val="24"/>
        </w:rPr>
        <w:t>(</w:t>
      </w:r>
      <w:r w:rsidR="00004ACB" w:rsidRPr="00CC6DCE">
        <w:rPr>
          <w:szCs w:val="24"/>
        </w:rPr>
        <w:t>Appendix A</w:t>
      </w:r>
      <w:r w:rsidRPr="00CC6DCE">
        <w:rPr>
          <w:szCs w:val="24"/>
        </w:rPr>
        <w:t xml:space="preserve"> refer</w:t>
      </w:r>
      <w:r w:rsidR="001E7FF8" w:rsidRPr="00CC6DCE">
        <w:rPr>
          <w:szCs w:val="24"/>
        </w:rPr>
        <w:t>s</w:t>
      </w:r>
      <w:r w:rsidRPr="00CC6DCE">
        <w:rPr>
          <w:szCs w:val="24"/>
        </w:rPr>
        <w:t>)</w:t>
      </w:r>
    </w:p>
    <w:p w14:paraId="1A49412E" w14:textId="77777777" w:rsidR="00195BD0" w:rsidRPr="00CC6DCE" w:rsidRDefault="00195BD0" w:rsidP="00CC6DCE">
      <w:pPr>
        <w:pStyle w:val="Header"/>
        <w:spacing w:line="276" w:lineRule="auto"/>
        <w:rPr>
          <w:rFonts w:ascii="Arial" w:hAnsi="Arial"/>
          <w:sz w:val="24"/>
          <w:szCs w:val="24"/>
        </w:rPr>
      </w:pPr>
    </w:p>
    <w:p w14:paraId="0756357D" w14:textId="77777777" w:rsidR="00CB5AF9" w:rsidRPr="00CC6DCE" w:rsidRDefault="00CB5AF9" w:rsidP="00CC6DCE">
      <w:pPr>
        <w:spacing w:line="276" w:lineRule="auto"/>
        <w:ind w:right="-873"/>
        <w:rPr>
          <w:szCs w:val="24"/>
        </w:rPr>
      </w:pPr>
      <w:r w:rsidRPr="00CC6DCE">
        <w:rPr>
          <w:szCs w:val="24"/>
        </w:rPr>
        <w:t xml:space="preserve">Contact for further information: </w:t>
      </w:r>
    </w:p>
    <w:p w14:paraId="114EC398" w14:textId="667D1D43" w:rsidR="00CB5AF9" w:rsidRPr="00CC6DCE" w:rsidRDefault="00D50DDA" w:rsidP="00CC6DCE">
      <w:pPr>
        <w:spacing w:line="276" w:lineRule="auto"/>
        <w:ind w:right="-873"/>
        <w:rPr>
          <w:szCs w:val="24"/>
        </w:rPr>
      </w:pPr>
      <w:r w:rsidRPr="00CC6DCE">
        <w:rPr>
          <w:szCs w:val="24"/>
        </w:rPr>
        <w:t>Damon Lawrenson</w:t>
      </w:r>
      <w:r w:rsidR="00AF5311">
        <w:rPr>
          <w:szCs w:val="24"/>
        </w:rPr>
        <w:t>, Interim Director for Financial Resources</w:t>
      </w:r>
      <w:r w:rsidR="00D23DD7" w:rsidRPr="00CC6DCE">
        <w:rPr>
          <w:szCs w:val="24"/>
        </w:rPr>
        <w:t xml:space="preserve"> (01772) 534715</w:t>
      </w:r>
      <w:r w:rsidR="00CB5AF9" w:rsidRPr="00CC6DCE">
        <w:rPr>
          <w:szCs w:val="24"/>
        </w:rPr>
        <w:t xml:space="preserve">, </w:t>
      </w:r>
    </w:p>
    <w:p w14:paraId="588BB4D3" w14:textId="02A4E7BC" w:rsidR="00BB522D" w:rsidRPr="00AF5311" w:rsidRDefault="00BB522D" w:rsidP="00CC6DCE">
      <w:pPr>
        <w:spacing w:line="276" w:lineRule="auto"/>
        <w:rPr>
          <w:szCs w:val="24"/>
          <w:u w:val="single"/>
        </w:rPr>
      </w:pPr>
      <w:hyperlink r:id="rId8" w:history="1">
        <w:r w:rsidR="00D50DDA" w:rsidRPr="00CC6DCE">
          <w:rPr>
            <w:rStyle w:val="Hyperlink"/>
            <w:szCs w:val="24"/>
          </w:rPr>
          <w:t>damon.lawrenson@lancashire.gov.uk</w:t>
        </w:r>
      </w:hyperlink>
      <w:r w:rsidR="00D23DD7" w:rsidRPr="00CC6DCE">
        <w:rPr>
          <w:szCs w:val="24"/>
          <w:u w:val="single"/>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B5AF9" w:rsidRPr="00CC6DCE" w14:paraId="737281B8" w14:textId="77777777">
        <w:tc>
          <w:tcPr>
            <w:tcW w:w="9180" w:type="dxa"/>
          </w:tcPr>
          <w:p w14:paraId="259F685D" w14:textId="77777777" w:rsidR="00CB5AF9" w:rsidRPr="00CC6DCE" w:rsidRDefault="00CB5AF9" w:rsidP="00CC6DCE">
            <w:pPr>
              <w:pStyle w:val="BodyText"/>
              <w:spacing w:line="276" w:lineRule="auto"/>
              <w:jc w:val="both"/>
              <w:rPr>
                <w:rFonts w:cs="Arial"/>
                <w:szCs w:val="24"/>
              </w:rPr>
            </w:pPr>
          </w:p>
          <w:p w14:paraId="6F737E24" w14:textId="77777777" w:rsidR="00CB5AF9" w:rsidRPr="00CC6DCE" w:rsidRDefault="00CB5AF9" w:rsidP="00CC6DCE">
            <w:pPr>
              <w:pStyle w:val="Heading6"/>
              <w:spacing w:line="276" w:lineRule="auto"/>
              <w:jc w:val="both"/>
              <w:rPr>
                <w:rFonts w:ascii="Arial" w:hAnsi="Arial" w:cs="Arial"/>
                <w:sz w:val="24"/>
                <w:szCs w:val="24"/>
              </w:rPr>
            </w:pPr>
            <w:r w:rsidRPr="00CC6DCE">
              <w:rPr>
                <w:rFonts w:ascii="Arial" w:hAnsi="Arial" w:cs="Arial"/>
                <w:sz w:val="24"/>
                <w:szCs w:val="24"/>
              </w:rPr>
              <w:t>Executive Summary</w:t>
            </w:r>
          </w:p>
          <w:p w14:paraId="3CBB1A6C" w14:textId="77777777" w:rsidR="00CB5AF9" w:rsidRPr="00CC6DCE" w:rsidRDefault="00CB5AF9" w:rsidP="00CC6DCE">
            <w:pPr>
              <w:spacing w:line="276" w:lineRule="auto"/>
              <w:jc w:val="both"/>
              <w:rPr>
                <w:rFonts w:cs="Arial"/>
                <w:szCs w:val="24"/>
              </w:rPr>
            </w:pPr>
          </w:p>
          <w:p w14:paraId="70F17813" w14:textId="07D92E37" w:rsidR="00CB5AF9" w:rsidRPr="00CC6DCE" w:rsidRDefault="00CB5AF9" w:rsidP="00AF5311">
            <w:pPr>
              <w:jc w:val="both"/>
              <w:rPr>
                <w:rFonts w:cs="Arial"/>
                <w:szCs w:val="24"/>
              </w:rPr>
            </w:pPr>
            <w:r w:rsidRPr="00CC6DCE">
              <w:rPr>
                <w:rFonts w:cs="Arial"/>
                <w:szCs w:val="24"/>
              </w:rPr>
              <w:t>To consider the reco</w:t>
            </w:r>
            <w:r w:rsidR="00E348F2" w:rsidRPr="00CC6DCE">
              <w:rPr>
                <w:rFonts w:cs="Arial"/>
                <w:szCs w:val="24"/>
              </w:rPr>
              <w:t xml:space="preserve">mmendations of the Cabinet on </w:t>
            </w:r>
            <w:r w:rsidR="00AF5311">
              <w:rPr>
                <w:rFonts w:cs="Arial"/>
                <w:szCs w:val="24"/>
              </w:rPr>
              <w:t>21 January</w:t>
            </w:r>
            <w:r w:rsidR="00D23DD7" w:rsidRPr="00CC6DCE">
              <w:rPr>
                <w:rFonts w:cs="Arial"/>
                <w:szCs w:val="24"/>
              </w:rPr>
              <w:t xml:space="preserve"> 201</w:t>
            </w:r>
            <w:r w:rsidR="00D50DDA" w:rsidRPr="00CC6DCE">
              <w:rPr>
                <w:rFonts w:cs="Arial"/>
                <w:szCs w:val="24"/>
              </w:rPr>
              <w:t>6</w:t>
            </w:r>
            <w:r w:rsidRPr="00CC6DCE">
              <w:rPr>
                <w:rFonts w:cs="Arial"/>
                <w:szCs w:val="24"/>
              </w:rPr>
              <w:t xml:space="preserve"> regarding:</w:t>
            </w:r>
          </w:p>
          <w:p w14:paraId="7A985EBE" w14:textId="77777777" w:rsidR="00CB5AF9" w:rsidRPr="00CC6DCE" w:rsidRDefault="00CB5AF9" w:rsidP="00AF5311">
            <w:pPr>
              <w:ind w:left="313" w:hanging="313"/>
              <w:jc w:val="both"/>
              <w:rPr>
                <w:rFonts w:cs="Arial"/>
                <w:szCs w:val="24"/>
              </w:rPr>
            </w:pPr>
          </w:p>
          <w:p w14:paraId="4277AA51" w14:textId="69909DDD" w:rsidR="00CB5AF9" w:rsidRPr="00CC6DCE" w:rsidRDefault="00CB5AF9" w:rsidP="00AF5311">
            <w:pPr>
              <w:pStyle w:val="ListParagraph"/>
              <w:numPr>
                <w:ilvl w:val="0"/>
                <w:numId w:val="32"/>
              </w:numPr>
              <w:ind w:left="313" w:hanging="313"/>
              <w:jc w:val="both"/>
              <w:rPr>
                <w:rFonts w:cs="Arial"/>
                <w:szCs w:val="24"/>
              </w:rPr>
            </w:pPr>
            <w:r w:rsidRPr="00CC6DCE">
              <w:rPr>
                <w:rFonts w:cs="Arial"/>
                <w:szCs w:val="24"/>
              </w:rPr>
              <w:t>The Revenue Budget 20</w:t>
            </w:r>
            <w:r w:rsidR="00DD1F36" w:rsidRPr="00CC6DCE">
              <w:rPr>
                <w:rFonts w:cs="Arial"/>
                <w:szCs w:val="24"/>
              </w:rPr>
              <w:t>1</w:t>
            </w:r>
            <w:r w:rsidR="00D50DDA" w:rsidRPr="00CC6DCE">
              <w:rPr>
                <w:rFonts w:cs="Arial"/>
                <w:szCs w:val="24"/>
              </w:rPr>
              <w:t>6</w:t>
            </w:r>
            <w:r w:rsidR="00722079" w:rsidRPr="00CC6DCE">
              <w:rPr>
                <w:rFonts w:cs="Arial"/>
                <w:szCs w:val="24"/>
              </w:rPr>
              <w:t>/1</w:t>
            </w:r>
            <w:r w:rsidR="00D50DDA" w:rsidRPr="00CC6DCE">
              <w:rPr>
                <w:rFonts w:cs="Arial"/>
                <w:szCs w:val="24"/>
              </w:rPr>
              <w:t>7</w:t>
            </w:r>
            <w:r w:rsidR="00004ACB" w:rsidRPr="00CC6DCE">
              <w:rPr>
                <w:rFonts w:cs="Arial"/>
                <w:szCs w:val="24"/>
              </w:rPr>
              <w:t xml:space="preserve"> and Financial Strategy 201</w:t>
            </w:r>
            <w:r w:rsidR="00D50DDA" w:rsidRPr="00CC6DCE">
              <w:rPr>
                <w:rFonts w:cs="Arial"/>
                <w:szCs w:val="24"/>
              </w:rPr>
              <w:t>7</w:t>
            </w:r>
            <w:r w:rsidR="00004ACB" w:rsidRPr="00CC6DCE">
              <w:rPr>
                <w:rFonts w:cs="Arial"/>
                <w:szCs w:val="24"/>
              </w:rPr>
              <w:t>/1</w:t>
            </w:r>
            <w:r w:rsidR="00D50DDA" w:rsidRPr="00CC6DCE">
              <w:rPr>
                <w:rFonts w:cs="Arial"/>
                <w:szCs w:val="24"/>
              </w:rPr>
              <w:t>8</w:t>
            </w:r>
            <w:r w:rsidR="00004ACB" w:rsidRPr="00CC6DCE">
              <w:rPr>
                <w:rFonts w:cs="Arial"/>
                <w:szCs w:val="24"/>
              </w:rPr>
              <w:t xml:space="preserve"> to 201</w:t>
            </w:r>
            <w:r w:rsidR="00CC6DCE" w:rsidRPr="00CC6DCE">
              <w:rPr>
                <w:rFonts w:cs="Arial"/>
                <w:szCs w:val="24"/>
              </w:rPr>
              <w:t>9/20</w:t>
            </w:r>
            <w:r w:rsidR="00066B3A" w:rsidRPr="00CC6DCE">
              <w:rPr>
                <w:rFonts w:cs="Arial"/>
                <w:szCs w:val="24"/>
              </w:rPr>
              <w:t xml:space="preserve">: section </w:t>
            </w:r>
            <w:r w:rsidR="00195BD0" w:rsidRPr="00CC6DCE">
              <w:rPr>
                <w:rFonts w:cs="Arial"/>
                <w:szCs w:val="24"/>
              </w:rPr>
              <w:t>1</w:t>
            </w:r>
            <w:r w:rsidR="00066B3A" w:rsidRPr="00CC6DCE">
              <w:rPr>
                <w:rFonts w:cs="Arial"/>
                <w:szCs w:val="24"/>
              </w:rPr>
              <w:t xml:space="preserve"> of </w:t>
            </w:r>
            <w:r w:rsidR="00CE77D7" w:rsidRPr="00CC6DCE">
              <w:rPr>
                <w:rFonts w:cs="Arial"/>
                <w:szCs w:val="24"/>
              </w:rPr>
              <w:t>this</w:t>
            </w:r>
            <w:r w:rsidR="00066B3A" w:rsidRPr="00CC6DCE">
              <w:rPr>
                <w:rFonts w:cs="Arial"/>
                <w:szCs w:val="24"/>
              </w:rPr>
              <w:t xml:space="preserve"> report</w:t>
            </w:r>
            <w:r w:rsidR="00004ACB" w:rsidRPr="00CC6DCE">
              <w:rPr>
                <w:rFonts w:cs="Arial"/>
                <w:szCs w:val="24"/>
              </w:rPr>
              <w:t xml:space="preserve"> and Appendix A</w:t>
            </w:r>
            <w:r w:rsidR="00195BD0" w:rsidRPr="00CC6DCE">
              <w:rPr>
                <w:rFonts w:cs="Arial"/>
                <w:szCs w:val="24"/>
              </w:rPr>
              <w:t>;</w:t>
            </w:r>
          </w:p>
          <w:p w14:paraId="244CA354" w14:textId="77777777" w:rsidR="00004ACB" w:rsidRPr="00CC6DCE" w:rsidRDefault="00004ACB" w:rsidP="00AF5311">
            <w:pPr>
              <w:ind w:left="313" w:hanging="313"/>
              <w:jc w:val="both"/>
              <w:rPr>
                <w:rFonts w:cs="Arial"/>
                <w:szCs w:val="24"/>
              </w:rPr>
            </w:pPr>
          </w:p>
          <w:p w14:paraId="4F5C0CF4" w14:textId="43A394C7" w:rsidR="00004ACB" w:rsidRPr="00CC6DCE" w:rsidRDefault="00004ACB" w:rsidP="00AF5311">
            <w:pPr>
              <w:pStyle w:val="ListParagraph"/>
              <w:numPr>
                <w:ilvl w:val="0"/>
                <w:numId w:val="32"/>
              </w:numPr>
              <w:ind w:left="313" w:hanging="313"/>
              <w:jc w:val="both"/>
              <w:rPr>
                <w:rFonts w:cs="Arial"/>
                <w:szCs w:val="24"/>
              </w:rPr>
            </w:pPr>
            <w:r w:rsidRPr="00CC6DCE">
              <w:rPr>
                <w:rFonts w:cs="Arial"/>
                <w:szCs w:val="24"/>
              </w:rPr>
              <w:t>The Capital Investment Programme 201</w:t>
            </w:r>
            <w:r w:rsidR="00D50DDA" w:rsidRPr="00CC6DCE">
              <w:rPr>
                <w:rFonts w:cs="Arial"/>
                <w:szCs w:val="24"/>
              </w:rPr>
              <w:t>6</w:t>
            </w:r>
            <w:r w:rsidRPr="00CC6DCE">
              <w:rPr>
                <w:rFonts w:cs="Arial"/>
                <w:szCs w:val="24"/>
              </w:rPr>
              <w:t>/1</w:t>
            </w:r>
            <w:r w:rsidR="00D50DDA" w:rsidRPr="00CC6DCE">
              <w:rPr>
                <w:rFonts w:cs="Arial"/>
                <w:szCs w:val="24"/>
              </w:rPr>
              <w:t>7</w:t>
            </w:r>
            <w:r w:rsidRPr="00CC6DCE">
              <w:rPr>
                <w:rFonts w:cs="Arial"/>
                <w:szCs w:val="24"/>
              </w:rPr>
              <w:t xml:space="preserve"> and beyond</w:t>
            </w:r>
            <w:r w:rsidR="00880ACA" w:rsidRPr="00CC6DCE">
              <w:rPr>
                <w:rFonts w:cs="Arial"/>
                <w:szCs w:val="24"/>
              </w:rPr>
              <w:t>: section 2</w:t>
            </w:r>
            <w:r w:rsidRPr="00CC6DCE">
              <w:rPr>
                <w:rFonts w:cs="Arial"/>
                <w:szCs w:val="24"/>
              </w:rPr>
              <w:t xml:space="preserve"> of</w:t>
            </w:r>
            <w:r w:rsidR="00C07C0E" w:rsidRPr="00CC6DCE">
              <w:rPr>
                <w:rFonts w:cs="Arial"/>
                <w:szCs w:val="24"/>
              </w:rPr>
              <w:t xml:space="preserve"> this report and Appendix A; and</w:t>
            </w:r>
          </w:p>
          <w:p w14:paraId="03CDB2AE" w14:textId="77777777" w:rsidR="00CB5AF9" w:rsidRPr="00CC6DCE" w:rsidRDefault="00CB5AF9" w:rsidP="00AF5311">
            <w:pPr>
              <w:ind w:left="313" w:hanging="313"/>
              <w:jc w:val="both"/>
              <w:rPr>
                <w:rFonts w:cs="Arial"/>
                <w:szCs w:val="24"/>
              </w:rPr>
            </w:pPr>
          </w:p>
          <w:p w14:paraId="621B6FA2" w14:textId="3840DFB1" w:rsidR="00195BD0" w:rsidRPr="00CC6DCE" w:rsidRDefault="00CB5AF9" w:rsidP="00AF5311">
            <w:pPr>
              <w:pStyle w:val="ListParagraph"/>
              <w:numPr>
                <w:ilvl w:val="0"/>
                <w:numId w:val="32"/>
              </w:numPr>
              <w:ind w:left="313" w:hanging="313"/>
              <w:jc w:val="both"/>
              <w:rPr>
                <w:rFonts w:cs="Arial"/>
                <w:szCs w:val="24"/>
              </w:rPr>
            </w:pPr>
            <w:r w:rsidRPr="00CC6DCE">
              <w:rPr>
                <w:rFonts w:cs="Arial"/>
                <w:szCs w:val="24"/>
              </w:rPr>
              <w:t>The Council Tax and Precept 20</w:t>
            </w:r>
            <w:r w:rsidR="00566B41" w:rsidRPr="00CC6DCE">
              <w:rPr>
                <w:rFonts w:cs="Arial"/>
                <w:szCs w:val="24"/>
              </w:rPr>
              <w:t>1</w:t>
            </w:r>
            <w:r w:rsidR="00D50DDA" w:rsidRPr="00CC6DCE">
              <w:rPr>
                <w:rFonts w:cs="Arial"/>
                <w:szCs w:val="24"/>
              </w:rPr>
              <w:t>6</w:t>
            </w:r>
            <w:r w:rsidR="00722079" w:rsidRPr="00CC6DCE">
              <w:rPr>
                <w:rFonts w:cs="Arial"/>
                <w:szCs w:val="24"/>
              </w:rPr>
              <w:t>/1</w:t>
            </w:r>
            <w:r w:rsidR="00D50DDA" w:rsidRPr="00CC6DCE">
              <w:rPr>
                <w:rFonts w:cs="Arial"/>
                <w:szCs w:val="24"/>
              </w:rPr>
              <w:t>7</w:t>
            </w:r>
            <w:r w:rsidR="00066B3A" w:rsidRPr="00CC6DCE">
              <w:rPr>
                <w:rFonts w:cs="Arial"/>
                <w:szCs w:val="24"/>
              </w:rPr>
              <w:t xml:space="preserve">: section </w:t>
            </w:r>
            <w:r w:rsidR="00880ACA" w:rsidRPr="00CC6DCE">
              <w:rPr>
                <w:rFonts w:cs="Arial"/>
                <w:szCs w:val="24"/>
              </w:rPr>
              <w:t>3</w:t>
            </w:r>
            <w:r w:rsidR="00066B3A" w:rsidRPr="00CC6DCE">
              <w:rPr>
                <w:rFonts w:cs="Arial"/>
                <w:szCs w:val="24"/>
              </w:rPr>
              <w:t xml:space="preserve"> of </w:t>
            </w:r>
            <w:r w:rsidR="00CE77D7" w:rsidRPr="00CC6DCE">
              <w:rPr>
                <w:rFonts w:cs="Arial"/>
                <w:szCs w:val="24"/>
              </w:rPr>
              <w:t>this</w:t>
            </w:r>
            <w:r w:rsidR="00066B3A" w:rsidRPr="00CC6DCE">
              <w:rPr>
                <w:rFonts w:cs="Arial"/>
                <w:szCs w:val="24"/>
              </w:rPr>
              <w:t xml:space="preserve"> </w:t>
            </w:r>
            <w:r w:rsidRPr="00CC6DCE">
              <w:rPr>
                <w:rFonts w:cs="Arial"/>
                <w:szCs w:val="24"/>
              </w:rPr>
              <w:t>report</w:t>
            </w:r>
            <w:r w:rsidR="00004ACB" w:rsidRPr="00CC6DCE">
              <w:rPr>
                <w:rFonts w:cs="Arial"/>
                <w:szCs w:val="24"/>
              </w:rPr>
              <w:t>.</w:t>
            </w:r>
          </w:p>
          <w:p w14:paraId="14347B3A" w14:textId="77777777" w:rsidR="00CB5AF9" w:rsidRPr="00CC6DCE" w:rsidRDefault="00CB5AF9" w:rsidP="00AF5311">
            <w:pPr>
              <w:jc w:val="both"/>
              <w:rPr>
                <w:rFonts w:cs="Arial"/>
                <w:szCs w:val="24"/>
              </w:rPr>
            </w:pPr>
          </w:p>
          <w:p w14:paraId="3C680EAD" w14:textId="6285FFBF" w:rsidR="00CB5AF9" w:rsidRPr="00CC6DCE" w:rsidRDefault="00CB5AF9" w:rsidP="00AF5311">
            <w:pPr>
              <w:pStyle w:val="BodyText3"/>
              <w:jc w:val="both"/>
              <w:rPr>
                <w:rFonts w:cs="Arial"/>
                <w:b w:val="0"/>
                <w:szCs w:val="24"/>
              </w:rPr>
            </w:pPr>
            <w:r w:rsidRPr="00CC6DCE">
              <w:rPr>
                <w:rFonts w:cs="Arial"/>
                <w:szCs w:val="24"/>
              </w:rPr>
              <w:t xml:space="preserve">Please note: </w:t>
            </w:r>
            <w:r w:rsidR="001E7FF8" w:rsidRPr="00CC6DCE">
              <w:rPr>
                <w:rFonts w:cs="Arial"/>
                <w:b w:val="0"/>
                <w:szCs w:val="24"/>
              </w:rPr>
              <w:t>The reports on the County Council's Budget for 20</w:t>
            </w:r>
            <w:r w:rsidR="00DD1F36" w:rsidRPr="00CC6DCE">
              <w:rPr>
                <w:rFonts w:cs="Arial"/>
                <w:b w:val="0"/>
                <w:szCs w:val="24"/>
              </w:rPr>
              <w:t>1</w:t>
            </w:r>
            <w:r w:rsidR="00D50DDA" w:rsidRPr="00CC6DCE">
              <w:rPr>
                <w:rFonts w:cs="Arial"/>
                <w:b w:val="0"/>
                <w:szCs w:val="24"/>
              </w:rPr>
              <w:t>6</w:t>
            </w:r>
            <w:r w:rsidR="00722079" w:rsidRPr="00CC6DCE">
              <w:rPr>
                <w:rFonts w:cs="Arial"/>
                <w:b w:val="0"/>
                <w:szCs w:val="24"/>
              </w:rPr>
              <w:t>/1</w:t>
            </w:r>
            <w:r w:rsidR="00D50DDA" w:rsidRPr="00CC6DCE">
              <w:rPr>
                <w:rFonts w:cs="Arial"/>
                <w:b w:val="0"/>
                <w:szCs w:val="24"/>
              </w:rPr>
              <w:t>7</w:t>
            </w:r>
            <w:r w:rsidR="001E7FF8" w:rsidRPr="00CC6DCE">
              <w:rPr>
                <w:rFonts w:cs="Arial"/>
                <w:b w:val="0"/>
                <w:szCs w:val="24"/>
              </w:rPr>
              <w:t xml:space="preserve"> considered by </w:t>
            </w:r>
            <w:r w:rsidRPr="00CC6DCE">
              <w:rPr>
                <w:rFonts w:cs="Arial"/>
                <w:b w:val="0"/>
                <w:szCs w:val="24"/>
              </w:rPr>
              <w:t xml:space="preserve">Cabinet </w:t>
            </w:r>
            <w:r w:rsidR="001E7FF8" w:rsidRPr="00CC6DCE">
              <w:rPr>
                <w:rFonts w:cs="Arial"/>
                <w:b w:val="0"/>
                <w:szCs w:val="24"/>
              </w:rPr>
              <w:t xml:space="preserve">at their </w:t>
            </w:r>
            <w:r w:rsidRPr="00CC6DCE">
              <w:rPr>
                <w:rFonts w:cs="Arial"/>
                <w:b w:val="0"/>
                <w:szCs w:val="24"/>
              </w:rPr>
              <w:t>meeting</w:t>
            </w:r>
            <w:r w:rsidR="00DD1F36" w:rsidRPr="00CC6DCE">
              <w:rPr>
                <w:rFonts w:cs="Arial"/>
                <w:b w:val="0"/>
                <w:szCs w:val="24"/>
              </w:rPr>
              <w:t xml:space="preserve">s </w:t>
            </w:r>
            <w:r w:rsidR="009A51EB">
              <w:rPr>
                <w:rFonts w:cs="Arial"/>
                <w:b w:val="0"/>
                <w:szCs w:val="24"/>
              </w:rPr>
              <w:t xml:space="preserve">on 12 August 2015, 26 November 2015 and 21 January 2016 </w:t>
            </w:r>
            <w:r w:rsidRPr="00CC6DCE">
              <w:rPr>
                <w:rFonts w:cs="Arial"/>
                <w:b w:val="0"/>
                <w:szCs w:val="24"/>
              </w:rPr>
              <w:t>form part of the background to the report attached at Appendi</w:t>
            </w:r>
            <w:r w:rsidR="001E7FF8" w:rsidRPr="00CC6DCE">
              <w:rPr>
                <w:rFonts w:cs="Arial"/>
                <w:b w:val="0"/>
                <w:szCs w:val="24"/>
              </w:rPr>
              <w:t>x</w:t>
            </w:r>
            <w:r w:rsidRPr="00CC6DCE">
              <w:rPr>
                <w:rFonts w:cs="Arial"/>
                <w:b w:val="0"/>
                <w:szCs w:val="24"/>
              </w:rPr>
              <w:t xml:space="preserve"> A</w:t>
            </w:r>
            <w:r w:rsidR="001E7FF8" w:rsidRPr="00CC6DCE">
              <w:rPr>
                <w:rFonts w:cs="Arial"/>
                <w:b w:val="0"/>
                <w:szCs w:val="24"/>
              </w:rPr>
              <w:t>. T</w:t>
            </w:r>
            <w:r w:rsidR="00E348F2" w:rsidRPr="00CC6DCE">
              <w:rPr>
                <w:rFonts w:cs="Arial"/>
                <w:b w:val="0"/>
                <w:szCs w:val="24"/>
              </w:rPr>
              <w:t>he detailed information from those reports is not repeated in this report</w:t>
            </w:r>
            <w:r w:rsidRPr="00CC6DCE">
              <w:rPr>
                <w:rFonts w:cs="Arial"/>
                <w:b w:val="0"/>
                <w:szCs w:val="24"/>
              </w:rPr>
              <w:t xml:space="preserve">.  Those reports are available </w:t>
            </w:r>
            <w:r w:rsidR="004167BA" w:rsidRPr="00CC6DCE">
              <w:rPr>
                <w:rFonts w:cs="Arial"/>
                <w:b w:val="0"/>
                <w:szCs w:val="24"/>
              </w:rPr>
              <w:t>via the Cabinet Agenda</w:t>
            </w:r>
            <w:r w:rsidR="00E65BB2" w:rsidRPr="00CC6DCE">
              <w:rPr>
                <w:rFonts w:cs="Arial"/>
                <w:b w:val="0"/>
                <w:szCs w:val="24"/>
              </w:rPr>
              <w:t>s</w:t>
            </w:r>
            <w:r w:rsidR="004167BA" w:rsidRPr="00CC6DCE">
              <w:rPr>
                <w:rFonts w:cs="Arial"/>
                <w:b w:val="0"/>
                <w:szCs w:val="24"/>
              </w:rPr>
              <w:t xml:space="preserve"> </w:t>
            </w:r>
            <w:r w:rsidRPr="00CC6DCE">
              <w:rPr>
                <w:rFonts w:cs="Arial"/>
                <w:b w:val="0"/>
                <w:szCs w:val="24"/>
              </w:rPr>
              <w:t xml:space="preserve">on the </w:t>
            </w:r>
            <w:r w:rsidR="00CC6DCE">
              <w:rPr>
                <w:rFonts w:cs="Arial"/>
                <w:b w:val="0"/>
                <w:szCs w:val="24"/>
              </w:rPr>
              <w:t xml:space="preserve">County </w:t>
            </w:r>
            <w:r w:rsidR="00E65BB2" w:rsidRPr="00CC6DCE">
              <w:rPr>
                <w:rFonts w:cs="Arial"/>
                <w:b w:val="0"/>
                <w:szCs w:val="24"/>
              </w:rPr>
              <w:t>Council's website</w:t>
            </w:r>
            <w:r w:rsidR="00A743BC" w:rsidRPr="00CC6DCE">
              <w:rPr>
                <w:rFonts w:cs="Arial"/>
                <w:b w:val="0"/>
                <w:szCs w:val="24"/>
              </w:rPr>
              <w:t>:</w:t>
            </w:r>
            <w:r w:rsidR="00A77CA9" w:rsidRPr="00CC6DCE">
              <w:rPr>
                <w:rFonts w:cs="Arial"/>
                <w:b w:val="0"/>
                <w:szCs w:val="24"/>
              </w:rPr>
              <w:t xml:space="preserve"> </w:t>
            </w:r>
          </w:p>
          <w:p w14:paraId="7F07DBEF" w14:textId="77777777" w:rsidR="00A77CA9" w:rsidRPr="00CC6DCE" w:rsidRDefault="00A77CA9" w:rsidP="00AF5311">
            <w:pPr>
              <w:pStyle w:val="BodyText3"/>
              <w:jc w:val="both"/>
              <w:rPr>
                <w:rFonts w:cs="Arial"/>
                <w:szCs w:val="24"/>
              </w:rPr>
            </w:pPr>
          </w:p>
          <w:p w14:paraId="6B8D5EE6" w14:textId="77777777" w:rsidR="00CB5AF9" w:rsidRPr="00CC6DCE" w:rsidRDefault="00BB522D" w:rsidP="00AF5311">
            <w:pPr>
              <w:pStyle w:val="Heading5"/>
              <w:jc w:val="both"/>
              <w:rPr>
                <w:rFonts w:ascii="Arial" w:hAnsi="Arial" w:cs="Arial"/>
                <w:sz w:val="24"/>
                <w:szCs w:val="24"/>
                <w:u w:val="none"/>
              </w:rPr>
            </w:pPr>
            <w:hyperlink r:id="rId9" w:history="1">
              <w:r w:rsidR="004026B6" w:rsidRPr="00CC6DCE">
                <w:rPr>
                  <w:rStyle w:val="Hyperlink"/>
                  <w:rFonts w:ascii="Arial" w:hAnsi="Arial" w:cs="Arial"/>
                  <w:sz w:val="24"/>
                  <w:szCs w:val="24"/>
                </w:rPr>
                <w:t>http://council.lancashire.gov.uk/ieListMeetings.aspx?CommitteeId=122</w:t>
              </w:r>
            </w:hyperlink>
            <w:r w:rsidR="004026B6" w:rsidRPr="00CC6DCE">
              <w:rPr>
                <w:rFonts w:ascii="Arial" w:hAnsi="Arial" w:cs="Arial"/>
                <w:sz w:val="24"/>
                <w:szCs w:val="24"/>
                <w:u w:val="none"/>
              </w:rPr>
              <w:t xml:space="preserve"> </w:t>
            </w:r>
          </w:p>
          <w:p w14:paraId="297EA028" w14:textId="77777777" w:rsidR="004026B6" w:rsidRPr="00CC6DCE" w:rsidRDefault="004026B6" w:rsidP="00AF5311">
            <w:pPr>
              <w:jc w:val="both"/>
              <w:rPr>
                <w:rFonts w:cs="Arial"/>
                <w:szCs w:val="24"/>
                <w:lang w:eastAsia="en-US"/>
              </w:rPr>
            </w:pPr>
          </w:p>
          <w:p w14:paraId="79D2E915" w14:textId="77777777" w:rsidR="00CB5AF9" w:rsidRPr="00CC6DCE" w:rsidRDefault="00CB5AF9" w:rsidP="00AF5311">
            <w:pPr>
              <w:pStyle w:val="Heading5"/>
              <w:jc w:val="both"/>
              <w:rPr>
                <w:rFonts w:ascii="Arial" w:hAnsi="Arial" w:cs="Arial"/>
                <w:sz w:val="24"/>
                <w:szCs w:val="24"/>
                <w:u w:val="none"/>
              </w:rPr>
            </w:pPr>
            <w:r w:rsidRPr="00CC6DCE">
              <w:rPr>
                <w:rFonts w:ascii="Arial" w:hAnsi="Arial" w:cs="Arial"/>
                <w:sz w:val="24"/>
                <w:szCs w:val="24"/>
                <w:u w:val="none"/>
              </w:rPr>
              <w:t>Recommendation</w:t>
            </w:r>
          </w:p>
          <w:p w14:paraId="2B44C091" w14:textId="77777777" w:rsidR="00CB5AF9" w:rsidRPr="00CC6DCE" w:rsidRDefault="00CB5AF9" w:rsidP="00AF5311">
            <w:pPr>
              <w:jc w:val="both"/>
              <w:rPr>
                <w:rFonts w:cs="Arial"/>
                <w:szCs w:val="24"/>
              </w:rPr>
            </w:pPr>
          </w:p>
          <w:p w14:paraId="079C50EC" w14:textId="7933F004" w:rsidR="00CB5AF9" w:rsidRPr="00CC6DCE" w:rsidRDefault="00CB5AF9" w:rsidP="00AF5311">
            <w:pPr>
              <w:jc w:val="both"/>
              <w:rPr>
                <w:rFonts w:cs="Arial"/>
                <w:szCs w:val="24"/>
              </w:rPr>
            </w:pPr>
            <w:r w:rsidRPr="00CC6DCE">
              <w:rPr>
                <w:rFonts w:cs="Arial"/>
                <w:szCs w:val="24"/>
              </w:rPr>
              <w:t xml:space="preserve">The </w:t>
            </w:r>
            <w:r w:rsidR="00253240" w:rsidRPr="00CC6DCE">
              <w:rPr>
                <w:rFonts w:cs="Arial"/>
                <w:szCs w:val="24"/>
              </w:rPr>
              <w:t>Full</w:t>
            </w:r>
            <w:r w:rsidRPr="00CC6DCE">
              <w:rPr>
                <w:rFonts w:cs="Arial"/>
                <w:szCs w:val="24"/>
              </w:rPr>
              <w:t xml:space="preserve"> Council is asked to consider the proposals of the Cabinet </w:t>
            </w:r>
            <w:r w:rsidR="00253240" w:rsidRPr="00CC6DCE">
              <w:rPr>
                <w:rFonts w:cs="Arial"/>
                <w:szCs w:val="24"/>
              </w:rPr>
              <w:t xml:space="preserve">from its meeting </w:t>
            </w:r>
            <w:r w:rsidRPr="006339C3">
              <w:rPr>
                <w:rFonts w:cs="Arial"/>
                <w:szCs w:val="24"/>
              </w:rPr>
              <w:t>o</w:t>
            </w:r>
            <w:r w:rsidR="00CC6DCE" w:rsidRPr="006339C3">
              <w:rPr>
                <w:rFonts w:cs="Arial"/>
                <w:szCs w:val="24"/>
              </w:rPr>
              <w:t xml:space="preserve">n </w:t>
            </w:r>
            <w:r w:rsidR="00BB522D">
              <w:rPr>
                <w:rFonts w:cs="Arial"/>
                <w:szCs w:val="24"/>
              </w:rPr>
              <w:t>21 J</w:t>
            </w:r>
            <w:r w:rsidR="00AF5311">
              <w:rPr>
                <w:rFonts w:cs="Arial"/>
                <w:szCs w:val="24"/>
              </w:rPr>
              <w:t>anuary</w:t>
            </w:r>
            <w:r w:rsidR="00DD1F36" w:rsidRPr="006339C3">
              <w:rPr>
                <w:rFonts w:cs="Arial"/>
                <w:szCs w:val="24"/>
              </w:rPr>
              <w:t xml:space="preserve"> 201</w:t>
            </w:r>
            <w:r w:rsidR="00CC6DCE" w:rsidRPr="006339C3">
              <w:rPr>
                <w:rFonts w:cs="Arial"/>
                <w:szCs w:val="24"/>
              </w:rPr>
              <w:t>6</w:t>
            </w:r>
            <w:r w:rsidR="00566B41" w:rsidRPr="006339C3">
              <w:rPr>
                <w:rFonts w:cs="Arial"/>
                <w:szCs w:val="24"/>
              </w:rPr>
              <w:t xml:space="preserve"> </w:t>
            </w:r>
            <w:r w:rsidRPr="006339C3">
              <w:rPr>
                <w:rFonts w:cs="Arial"/>
                <w:szCs w:val="24"/>
              </w:rPr>
              <w:t>and</w:t>
            </w:r>
            <w:r w:rsidRPr="00CC6DCE">
              <w:rPr>
                <w:rFonts w:cs="Arial"/>
                <w:szCs w:val="24"/>
              </w:rPr>
              <w:t xml:space="preserve"> </w:t>
            </w:r>
            <w:r w:rsidR="00066B3A" w:rsidRPr="00CC6DCE">
              <w:rPr>
                <w:rFonts w:cs="Arial"/>
                <w:szCs w:val="24"/>
              </w:rPr>
              <w:t xml:space="preserve">then </w:t>
            </w:r>
            <w:r w:rsidRPr="00CC6DCE">
              <w:rPr>
                <w:rFonts w:cs="Arial"/>
                <w:szCs w:val="24"/>
              </w:rPr>
              <w:t>approve:</w:t>
            </w:r>
          </w:p>
          <w:p w14:paraId="12D923D6" w14:textId="77777777" w:rsidR="00CB5AF9" w:rsidRPr="00CC6DCE" w:rsidRDefault="00CB5AF9" w:rsidP="00AF5311">
            <w:pPr>
              <w:jc w:val="both"/>
              <w:rPr>
                <w:rFonts w:cs="Arial"/>
                <w:szCs w:val="24"/>
              </w:rPr>
            </w:pPr>
          </w:p>
          <w:p w14:paraId="58BEF872" w14:textId="03DFD57F" w:rsidR="00B57F8B" w:rsidRPr="00CC6DCE" w:rsidRDefault="00384BBE" w:rsidP="00AF5311">
            <w:pPr>
              <w:numPr>
                <w:ilvl w:val="0"/>
                <w:numId w:val="4"/>
              </w:numPr>
              <w:ind w:left="720"/>
              <w:jc w:val="both"/>
              <w:rPr>
                <w:rFonts w:cs="Arial"/>
                <w:szCs w:val="24"/>
              </w:rPr>
            </w:pPr>
            <w:r w:rsidRPr="00CC6DCE">
              <w:rPr>
                <w:rFonts w:cs="Arial"/>
                <w:szCs w:val="24"/>
              </w:rPr>
              <w:t>T</w:t>
            </w:r>
            <w:r w:rsidR="004026B6" w:rsidRPr="00CC6DCE">
              <w:rPr>
                <w:rFonts w:cs="Arial"/>
                <w:szCs w:val="24"/>
              </w:rPr>
              <w:t>he Revenue Budget for 201</w:t>
            </w:r>
            <w:r w:rsidR="00D50DDA" w:rsidRPr="00CC6DCE">
              <w:rPr>
                <w:rFonts w:cs="Arial"/>
                <w:szCs w:val="24"/>
              </w:rPr>
              <w:t>6</w:t>
            </w:r>
            <w:r w:rsidR="00722079" w:rsidRPr="00CC6DCE">
              <w:rPr>
                <w:rFonts w:cs="Arial"/>
                <w:szCs w:val="24"/>
              </w:rPr>
              <w:t>/1</w:t>
            </w:r>
            <w:r w:rsidR="00D50DDA" w:rsidRPr="00CC6DCE">
              <w:rPr>
                <w:rFonts w:cs="Arial"/>
                <w:szCs w:val="24"/>
              </w:rPr>
              <w:t>7</w:t>
            </w:r>
            <w:r w:rsidR="00004ACB" w:rsidRPr="00CC6DCE">
              <w:rPr>
                <w:rFonts w:cs="Arial"/>
                <w:szCs w:val="24"/>
              </w:rPr>
              <w:t xml:space="preserve"> and Financial Strategy 201</w:t>
            </w:r>
            <w:r w:rsidR="00D50DDA" w:rsidRPr="00CC6DCE">
              <w:rPr>
                <w:rFonts w:cs="Arial"/>
                <w:szCs w:val="24"/>
              </w:rPr>
              <w:t>7</w:t>
            </w:r>
            <w:r w:rsidR="00004ACB" w:rsidRPr="00CC6DCE">
              <w:rPr>
                <w:rFonts w:cs="Arial"/>
                <w:szCs w:val="24"/>
              </w:rPr>
              <w:t>/1</w:t>
            </w:r>
            <w:r w:rsidR="00D50DDA" w:rsidRPr="00CC6DCE">
              <w:rPr>
                <w:rFonts w:cs="Arial"/>
                <w:szCs w:val="24"/>
              </w:rPr>
              <w:t>8</w:t>
            </w:r>
            <w:r w:rsidR="00004ACB" w:rsidRPr="00CC6DCE">
              <w:rPr>
                <w:rFonts w:cs="Arial"/>
                <w:szCs w:val="24"/>
              </w:rPr>
              <w:t xml:space="preserve"> to 201</w:t>
            </w:r>
            <w:r w:rsidR="00CC6DCE">
              <w:rPr>
                <w:rFonts w:cs="Arial"/>
                <w:szCs w:val="24"/>
              </w:rPr>
              <w:t>9/20</w:t>
            </w:r>
            <w:r w:rsidR="00004ACB" w:rsidRPr="00CC6DCE">
              <w:rPr>
                <w:rFonts w:cs="Arial"/>
                <w:szCs w:val="24"/>
              </w:rPr>
              <w:t xml:space="preserve">; </w:t>
            </w:r>
          </w:p>
          <w:p w14:paraId="5F3869C9" w14:textId="77DF7747" w:rsidR="00004ACB" w:rsidRPr="00CC6DCE" w:rsidRDefault="00384BBE" w:rsidP="00AF5311">
            <w:pPr>
              <w:numPr>
                <w:ilvl w:val="0"/>
                <w:numId w:val="4"/>
              </w:numPr>
              <w:ind w:left="720"/>
              <w:jc w:val="both"/>
              <w:rPr>
                <w:rFonts w:cs="Arial"/>
                <w:szCs w:val="24"/>
              </w:rPr>
            </w:pPr>
            <w:r w:rsidRPr="00CC6DCE">
              <w:rPr>
                <w:rFonts w:cs="Arial"/>
                <w:szCs w:val="24"/>
              </w:rPr>
              <w:t>T</w:t>
            </w:r>
            <w:r w:rsidR="00B57F8B" w:rsidRPr="00CC6DCE">
              <w:rPr>
                <w:rFonts w:cs="Arial"/>
                <w:szCs w:val="24"/>
              </w:rPr>
              <w:t xml:space="preserve">he Capital </w:t>
            </w:r>
            <w:r w:rsidR="00566B41" w:rsidRPr="00CC6DCE">
              <w:rPr>
                <w:rFonts w:cs="Arial"/>
                <w:szCs w:val="24"/>
              </w:rPr>
              <w:t>Investment Str</w:t>
            </w:r>
            <w:r w:rsidR="00DD1F36" w:rsidRPr="00CC6DCE">
              <w:rPr>
                <w:rFonts w:cs="Arial"/>
                <w:szCs w:val="24"/>
              </w:rPr>
              <w:t xml:space="preserve">ategy </w:t>
            </w:r>
            <w:r w:rsidR="004026B6" w:rsidRPr="00CC6DCE">
              <w:rPr>
                <w:rFonts w:cs="Arial"/>
                <w:szCs w:val="24"/>
              </w:rPr>
              <w:t>20</w:t>
            </w:r>
            <w:r w:rsidR="00566B41" w:rsidRPr="00CC6DCE">
              <w:rPr>
                <w:rFonts w:cs="Arial"/>
                <w:szCs w:val="24"/>
              </w:rPr>
              <w:t>1</w:t>
            </w:r>
            <w:r w:rsidR="00D50DDA" w:rsidRPr="00CC6DCE">
              <w:rPr>
                <w:rFonts w:cs="Arial"/>
                <w:szCs w:val="24"/>
              </w:rPr>
              <w:t>6</w:t>
            </w:r>
            <w:r w:rsidR="00722079" w:rsidRPr="00CC6DCE">
              <w:rPr>
                <w:rFonts w:cs="Arial"/>
                <w:szCs w:val="24"/>
              </w:rPr>
              <w:t>/1</w:t>
            </w:r>
            <w:r w:rsidR="00D50DDA" w:rsidRPr="00CC6DCE">
              <w:rPr>
                <w:rFonts w:cs="Arial"/>
                <w:szCs w:val="24"/>
              </w:rPr>
              <w:t>7</w:t>
            </w:r>
            <w:r w:rsidR="00DD1F36" w:rsidRPr="00CC6DCE">
              <w:rPr>
                <w:rFonts w:cs="Arial"/>
                <w:szCs w:val="24"/>
              </w:rPr>
              <w:t xml:space="preserve"> and future years</w:t>
            </w:r>
            <w:r w:rsidR="00004ACB" w:rsidRPr="00CC6DCE">
              <w:rPr>
                <w:rFonts w:cs="Arial"/>
                <w:szCs w:val="24"/>
              </w:rPr>
              <w:t>; and</w:t>
            </w:r>
          </w:p>
          <w:p w14:paraId="4E797612" w14:textId="77777777" w:rsidR="00AF5311" w:rsidRDefault="00004ACB" w:rsidP="00AF5311">
            <w:pPr>
              <w:numPr>
                <w:ilvl w:val="0"/>
                <w:numId w:val="4"/>
              </w:numPr>
              <w:ind w:left="720"/>
              <w:jc w:val="both"/>
              <w:rPr>
                <w:rFonts w:cs="Arial"/>
                <w:szCs w:val="24"/>
              </w:rPr>
            </w:pPr>
            <w:r w:rsidRPr="00CC6DCE">
              <w:rPr>
                <w:rFonts w:cs="Arial"/>
                <w:szCs w:val="24"/>
              </w:rPr>
              <w:t>The Council Tax Requirement and Precept for 201</w:t>
            </w:r>
            <w:r w:rsidR="00D50DDA" w:rsidRPr="00CC6DCE">
              <w:rPr>
                <w:rFonts w:cs="Arial"/>
                <w:szCs w:val="24"/>
              </w:rPr>
              <w:t>6</w:t>
            </w:r>
            <w:r w:rsidRPr="00CC6DCE">
              <w:rPr>
                <w:rFonts w:cs="Arial"/>
                <w:szCs w:val="24"/>
              </w:rPr>
              <w:t>/1</w:t>
            </w:r>
            <w:r w:rsidR="00D50DDA" w:rsidRPr="00CC6DCE">
              <w:rPr>
                <w:rFonts w:cs="Arial"/>
                <w:szCs w:val="24"/>
              </w:rPr>
              <w:t>7</w:t>
            </w:r>
          </w:p>
          <w:p w14:paraId="19B297B4" w14:textId="495DF04B" w:rsidR="00AF5311" w:rsidRPr="00AF5311" w:rsidRDefault="00AF5311" w:rsidP="00AF5311">
            <w:pPr>
              <w:ind w:left="720"/>
              <w:jc w:val="both"/>
              <w:rPr>
                <w:rFonts w:cs="Arial"/>
                <w:szCs w:val="24"/>
              </w:rPr>
            </w:pPr>
          </w:p>
        </w:tc>
      </w:tr>
    </w:tbl>
    <w:p w14:paraId="0AE76BEE" w14:textId="77777777" w:rsidR="00CB5AF9" w:rsidRPr="00BE1843" w:rsidRDefault="00CB5AF9" w:rsidP="00CB5AF9"/>
    <w:p w14:paraId="6717A24F" w14:textId="77777777" w:rsidR="00CB5AF9" w:rsidRPr="00BE1843" w:rsidRDefault="00CB5AF9" w:rsidP="00CB5AF9">
      <w:pPr>
        <w:pStyle w:val="Heading5"/>
        <w:rPr>
          <w:rFonts w:ascii="Arial" w:hAnsi="Arial"/>
          <w:sz w:val="24"/>
          <w:u w:val="none"/>
        </w:rPr>
      </w:pPr>
      <w:r w:rsidRPr="00BE1843">
        <w:rPr>
          <w:rFonts w:ascii="Arial" w:hAnsi="Arial"/>
          <w:sz w:val="24"/>
          <w:u w:val="none"/>
        </w:rPr>
        <w:t>Local Government (Access to Information) Act 1985</w:t>
      </w:r>
    </w:p>
    <w:p w14:paraId="10BA90D6" w14:textId="77777777" w:rsidR="00CB5AF9" w:rsidRPr="00BE1843" w:rsidRDefault="00CB5AF9" w:rsidP="00CB5AF9">
      <w:pPr>
        <w:pStyle w:val="Heading5"/>
        <w:rPr>
          <w:rFonts w:ascii="Arial" w:hAnsi="Arial"/>
          <w:sz w:val="24"/>
          <w:u w:val="none"/>
        </w:rPr>
      </w:pPr>
      <w:r w:rsidRPr="00BE1843">
        <w:rPr>
          <w:rFonts w:ascii="Arial" w:hAnsi="Arial"/>
          <w:sz w:val="24"/>
          <w:u w:val="none"/>
        </w:rPr>
        <w:t>List of Background Papers</w:t>
      </w:r>
    </w:p>
    <w:p w14:paraId="605316F1" w14:textId="77777777" w:rsidR="00CB5AF9" w:rsidRPr="00BE1843" w:rsidRDefault="00CB5AF9" w:rsidP="00CB5AF9"/>
    <w:tbl>
      <w:tblPr>
        <w:tblW w:w="0" w:type="auto"/>
        <w:tblLayout w:type="fixed"/>
        <w:tblLook w:val="0000" w:firstRow="0" w:lastRow="0" w:firstColumn="0" w:lastColumn="0" w:noHBand="0" w:noVBand="0"/>
      </w:tblPr>
      <w:tblGrid>
        <w:gridCol w:w="3227"/>
        <w:gridCol w:w="2775"/>
        <w:gridCol w:w="3178"/>
      </w:tblGrid>
      <w:tr w:rsidR="00CB5AF9" w:rsidRPr="00BE1843" w14:paraId="4D2582E7" w14:textId="77777777">
        <w:trPr>
          <w:trHeight w:val="113"/>
        </w:trPr>
        <w:tc>
          <w:tcPr>
            <w:tcW w:w="3227" w:type="dxa"/>
          </w:tcPr>
          <w:p w14:paraId="6EA3F40A" w14:textId="77777777" w:rsidR="00CB5AF9" w:rsidRPr="00BE1843" w:rsidRDefault="00CB5AF9" w:rsidP="00F45F31">
            <w:pPr>
              <w:pStyle w:val="Heading7"/>
              <w:rPr>
                <w:rFonts w:ascii="Arial" w:hAnsi="Arial"/>
                <w:sz w:val="24"/>
                <w:u w:val="none"/>
              </w:rPr>
            </w:pPr>
            <w:r w:rsidRPr="00BE1843">
              <w:rPr>
                <w:rFonts w:ascii="Arial" w:hAnsi="Arial"/>
                <w:sz w:val="24"/>
                <w:u w:val="none"/>
              </w:rPr>
              <w:t>Paper</w:t>
            </w:r>
          </w:p>
        </w:tc>
        <w:tc>
          <w:tcPr>
            <w:tcW w:w="2775" w:type="dxa"/>
          </w:tcPr>
          <w:p w14:paraId="22D61154" w14:textId="77777777" w:rsidR="00CB5AF9" w:rsidRPr="00BE1843" w:rsidRDefault="00CB5AF9" w:rsidP="00F45F31">
            <w:pPr>
              <w:pStyle w:val="Heading7"/>
              <w:rPr>
                <w:rFonts w:ascii="Arial" w:hAnsi="Arial"/>
                <w:sz w:val="24"/>
                <w:u w:val="none"/>
              </w:rPr>
            </w:pPr>
            <w:r w:rsidRPr="00BE1843">
              <w:rPr>
                <w:rFonts w:ascii="Arial" w:hAnsi="Arial"/>
                <w:sz w:val="24"/>
                <w:u w:val="none"/>
              </w:rPr>
              <w:t>Date</w:t>
            </w:r>
          </w:p>
        </w:tc>
        <w:tc>
          <w:tcPr>
            <w:tcW w:w="3178" w:type="dxa"/>
          </w:tcPr>
          <w:p w14:paraId="09639A5C" w14:textId="77777777" w:rsidR="00CB5AF9" w:rsidRPr="00BE1843" w:rsidRDefault="00CB5AF9" w:rsidP="00F45F31">
            <w:pPr>
              <w:pStyle w:val="Heading7"/>
              <w:rPr>
                <w:rFonts w:ascii="Arial" w:hAnsi="Arial"/>
                <w:sz w:val="24"/>
                <w:u w:val="none"/>
              </w:rPr>
            </w:pPr>
            <w:r w:rsidRPr="00BE1843">
              <w:rPr>
                <w:rFonts w:ascii="Arial" w:hAnsi="Arial"/>
                <w:sz w:val="24"/>
                <w:u w:val="none"/>
              </w:rPr>
              <w:t>Contact/Directorate/Ext</w:t>
            </w:r>
          </w:p>
        </w:tc>
      </w:tr>
      <w:tr w:rsidR="00CB5AF9" w:rsidRPr="00BE1843" w14:paraId="4D977A9D" w14:textId="77777777">
        <w:tc>
          <w:tcPr>
            <w:tcW w:w="3227" w:type="dxa"/>
          </w:tcPr>
          <w:p w14:paraId="331BBCB3" w14:textId="77777777" w:rsidR="00CB5AF9" w:rsidRPr="00BE1843" w:rsidRDefault="00CB5AF9" w:rsidP="00F45F31">
            <w:pPr>
              <w:pStyle w:val="Heading7"/>
              <w:rPr>
                <w:rFonts w:ascii="Arial" w:hAnsi="Arial"/>
              </w:rPr>
            </w:pPr>
          </w:p>
          <w:p w14:paraId="4A22DE44" w14:textId="77777777" w:rsidR="00CB5AF9" w:rsidRPr="00BE1843" w:rsidRDefault="00CB5AF9" w:rsidP="00F45F31">
            <w:r w:rsidRPr="00BE1843">
              <w:t>Grant Settlement and Budget working papers</w:t>
            </w:r>
          </w:p>
        </w:tc>
        <w:tc>
          <w:tcPr>
            <w:tcW w:w="2775" w:type="dxa"/>
          </w:tcPr>
          <w:p w14:paraId="36B5BC3B" w14:textId="77777777" w:rsidR="00CB5AF9" w:rsidRPr="00BE1843" w:rsidRDefault="00CB5AF9" w:rsidP="00F45F31">
            <w:pPr>
              <w:pStyle w:val="Heading7"/>
              <w:rPr>
                <w:rFonts w:ascii="Arial" w:hAnsi="Arial"/>
              </w:rPr>
            </w:pPr>
          </w:p>
          <w:p w14:paraId="750301FD" w14:textId="2BF3D617" w:rsidR="00CB5AF9" w:rsidRPr="00BE1843" w:rsidRDefault="00BB522D" w:rsidP="00F25140">
            <w:r>
              <w:t>January 2016</w:t>
            </w:r>
          </w:p>
        </w:tc>
        <w:tc>
          <w:tcPr>
            <w:tcW w:w="3178" w:type="dxa"/>
          </w:tcPr>
          <w:p w14:paraId="0F704FF5" w14:textId="77777777" w:rsidR="00CB5AF9" w:rsidRPr="00BE1843" w:rsidRDefault="00CB5AF9" w:rsidP="00F45F31">
            <w:pPr>
              <w:rPr>
                <w:u w:val="single"/>
              </w:rPr>
            </w:pPr>
          </w:p>
          <w:p w14:paraId="62B82605" w14:textId="7B9EC625" w:rsidR="00CB5AF9" w:rsidRPr="00BE1843" w:rsidRDefault="00F25140" w:rsidP="00327A44">
            <w:r>
              <w:t>Damon Lawrenson</w:t>
            </w:r>
            <w:r w:rsidR="00E64FE2">
              <w:t>/</w:t>
            </w:r>
            <w:r>
              <w:t xml:space="preserve">Interim Director of Financial Resources </w:t>
            </w:r>
            <w:r w:rsidR="00D23DD7">
              <w:t>/</w:t>
            </w:r>
            <w:r w:rsidR="00C9114C">
              <w:t>E</w:t>
            </w:r>
            <w:r w:rsidR="00D23DD7">
              <w:t>xt 3</w:t>
            </w:r>
            <w:r w:rsidR="00327A44">
              <w:t>4715</w:t>
            </w:r>
          </w:p>
        </w:tc>
      </w:tr>
    </w:tbl>
    <w:p w14:paraId="4747A8FC" w14:textId="77777777" w:rsidR="00CB5AF9" w:rsidRPr="00BE1843" w:rsidRDefault="00CB5AF9" w:rsidP="00CB5AF9"/>
    <w:p w14:paraId="232A9E1F" w14:textId="77777777" w:rsidR="00CB5AF9" w:rsidRPr="00CC6DCE" w:rsidRDefault="00CB5AF9" w:rsidP="00CC6DCE">
      <w:pPr>
        <w:pStyle w:val="Heading1"/>
        <w:spacing w:line="276" w:lineRule="auto"/>
        <w:rPr>
          <w:u w:val="single"/>
        </w:rPr>
      </w:pPr>
      <w:r w:rsidRPr="00BE1843">
        <w:rPr>
          <w:highlight w:val="green"/>
        </w:rPr>
        <w:br w:type="page"/>
      </w:r>
      <w:r w:rsidRPr="00CC6DCE">
        <w:rPr>
          <w:u w:val="single"/>
        </w:rPr>
        <w:lastRenderedPageBreak/>
        <w:t>Report of the Cabinet</w:t>
      </w:r>
    </w:p>
    <w:p w14:paraId="3500C52F" w14:textId="77777777" w:rsidR="00CB5AF9" w:rsidRDefault="00CB5AF9" w:rsidP="00CC6DCE">
      <w:pPr>
        <w:spacing w:line="276" w:lineRule="auto"/>
        <w:jc w:val="both"/>
      </w:pPr>
    </w:p>
    <w:p w14:paraId="79995F35" w14:textId="77777777" w:rsidR="00B52198" w:rsidRDefault="006652A9" w:rsidP="00CC6DCE">
      <w:pPr>
        <w:spacing w:line="276" w:lineRule="auto"/>
        <w:jc w:val="both"/>
      </w:pPr>
      <w:r>
        <w:t xml:space="preserve">The Cabinet </w:t>
      </w:r>
      <w:r>
        <w:rPr>
          <w:b/>
        </w:rPr>
        <w:t>recommends</w:t>
      </w:r>
      <w:r>
        <w:t xml:space="preserve"> the adoption of the prop</w:t>
      </w:r>
      <w:r w:rsidR="004026B6">
        <w:t>osals set out below for the</w:t>
      </w:r>
      <w:r w:rsidR="00B52198">
        <w:t>:</w:t>
      </w:r>
    </w:p>
    <w:p w14:paraId="6801EA6B" w14:textId="77777777" w:rsidR="00CC6DCE" w:rsidRDefault="00CC6DCE" w:rsidP="00CC6DCE">
      <w:pPr>
        <w:spacing w:line="276" w:lineRule="auto"/>
        <w:jc w:val="both"/>
      </w:pPr>
    </w:p>
    <w:p w14:paraId="4E177E22" w14:textId="77777777" w:rsidR="00CC6DCE" w:rsidRPr="00CC6DCE" w:rsidRDefault="00CC6DCE" w:rsidP="00CC6DCE">
      <w:pPr>
        <w:pStyle w:val="ListParagraph"/>
        <w:numPr>
          <w:ilvl w:val="0"/>
          <w:numId w:val="34"/>
        </w:numPr>
        <w:spacing w:line="276" w:lineRule="auto"/>
        <w:ind w:left="284" w:hanging="284"/>
        <w:jc w:val="both"/>
        <w:rPr>
          <w:rFonts w:cs="Arial"/>
          <w:szCs w:val="24"/>
        </w:rPr>
      </w:pPr>
      <w:r w:rsidRPr="00CC6DCE">
        <w:rPr>
          <w:rFonts w:cs="Arial"/>
          <w:szCs w:val="24"/>
        </w:rPr>
        <w:t>The Revenue Budget 2016/17 and Financial Strategy 2017/18 to 2019/20: section 1 of this report and Appendix A;</w:t>
      </w:r>
    </w:p>
    <w:p w14:paraId="764EAEF9" w14:textId="77777777" w:rsidR="00CC6DCE" w:rsidRPr="00CC6DCE" w:rsidRDefault="00CC6DCE" w:rsidP="00CC6DCE">
      <w:pPr>
        <w:spacing w:line="276" w:lineRule="auto"/>
        <w:ind w:left="284" w:hanging="284"/>
        <w:jc w:val="both"/>
        <w:rPr>
          <w:rFonts w:cs="Arial"/>
          <w:szCs w:val="24"/>
        </w:rPr>
      </w:pPr>
    </w:p>
    <w:p w14:paraId="439B7161" w14:textId="77777777" w:rsidR="00CC6DCE" w:rsidRPr="00CC6DCE" w:rsidRDefault="00CC6DCE" w:rsidP="00CC6DCE">
      <w:pPr>
        <w:pStyle w:val="ListParagraph"/>
        <w:numPr>
          <w:ilvl w:val="0"/>
          <w:numId w:val="34"/>
        </w:numPr>
        <w:spacing w:line="276" w:lineRule="auto"/>
        <w:ind w:left="284" w:hanging="284"/>
        <w:jc w:val="both"/>
        <w:rPr>
          <w:rFonts w:cs="Arial"/>
          <w:szCs w:val="24"/>
        </w:rPr>
      </w:pPr>
      <w:r w:rsidRPr="00CC6DCE">
        <w:rPr>
          <w:rFonts w:cs="Arial"/>
          <w:szCs w:val="24"/>
        </w:rPr>
        <w:t>The Capital Investment Programme 2016/17 and beyond: section 2 of this report and Appendix A; and</w:t>
      </w:r>
    </w:p>
    <w:p w14:paraId="3D5977DF" w14:textId="77777777" w:rsidR="00CC6DCE" w:rsidRPr="00CC6DCE" w:rsidRDefault="00CC6DCE" w:rsidP="00CC6DCE">
      <w:pPr>
        <w:spacing w:line="276" w:lineRule="auto"/>
        <w:ind w:left="284" w:hanging="284"/>
        <w:jc w:val="both"/>
        <w:rPr>
          <w:rFonts w:cs="Arial"/>
          <w:szCs w:val="24"/>
        </w:rPr>
      </w:pPr>
    </w:p>
    <w:p w14:paraId="2C58737D" w14:textId="77777777" w:rsidR="00CC6DCE" w:rsidRPr="00CC6DCE" w:rsidRDefault="00CC6DCE" w:rsidP="00CC6DCE">
      <w:pPr>
        <w:pStyle w:val="ListParagraph"/>
        <w:numPr>
          <w:ilvl w:val="0"/>
          <w:numId w:val="34"/>
        </w:numPr>
        <w:spacing w:line="276" w:lineRule="auto"/>
        <w:ind w:left="284" w:hanging="284"/>
        <w:jc w:val="both"/>
        <w:rPr>
          <w:rFonts w:cs="Arial"/>
          <w:szCs w:val="24"/>
        </w:rPr>
      </w:pPr>
      <w:r w:rsidRPr="00CC6DCE">
        <w:rPr>
          <w:rFonts w:cs="Arial"/>
          <w:szCs w:val="24"/>
        </w:rPr>
        <w:t>The Council Tax and Precept 2016/17: section 3 of this report.</w:t>
      </w:r>
    </w:p>
    <w:p w14:paraId="58535534" w14:textId="77777777" w:rsidR="00CC6DCE" w:rsidRPr="00CC6DCE" w:rsidRDefault="00CC6DCE" w:rsidP="00CC6DCE">
      <w:pPr>
        <w:spacing w:line="276" w:lineRule="auto"/>
        <w:ind w:left="284" w:hanging="284"/>
        <w:jc w:val="both"/>
        <w:rPr>
          <w:rFonts w:cs="Arial"/>
          <w:szCs w:val="24"/>
        </w:rPr>
      </w:pPr>
    </w:p>
    <w:p w14:paraId="0EC2A6D0" w14:textId="6AAE7133" w:rsidR="00CB5AF9" w:rsidRPr="00E8773F" w:rsidRDefault="00CB5AF9" w:rsidP="00CC6DCE">
      <w:pPr>
        <w:numPr>
          <w:ilvl w:val="0"/>
          <w:numId w:val="2"/>
        </w:numPr>
        <w:tabs>
          <w:tab w:val="clear" w:pos="720"/>
          <w:tab w:val="num" w:pos="284"/>
        </w:tabs>
        <w:spacing w:line="276" w:lineRule="auto"/>
        <w:ind w:left="284" w:hanging="284"/>
        <w:jc w:val="both"/>
        <w:rPr>
          <w:b/>
        </w:rPr>
      </w:pPr>
      <w:r w:rsidRPr="00E8773F">
        <w:rPr>
          <w:b/>
        </w:rPr>
        <w:t>Revenue Budget 20</w:t>
      </w:r>
      <w:r w:rsidR="00DD1F36">
        <w:rPr>
          <w:b/>
        </w:rPr>
        <w:t>1</w:t>
      </w:r>
      <w:r w:rsidR="00CD25C7">
        <w:rPr>
          <w:b/>
        </w:rPr>
        <w:t>6</w:t>
      </w:r>
      <w:r w:rsidR="00A9794D">
        <w:rPr>
          <w:b/>
        </w:rPr>
        <w:t>/1</w:t>
      </w:r>
      <w:r w:rsidR="00CD25C7">
        <w:rPr>
          <w:b/>
        </w:rPr>
        <w:t>7</w:t>
      </w:r>
    </w:p>
    <w:p w14:paraId="5C862000" w14:textId="77777777" w:rsidR="00CB5AF9" w:rsidRPr="00E8773F" w:rsidRDefault="00CB5AF9" w:rsidP="00CC6DCE">
      <w:pPr>
        <w:spacing w:line="276" w:lineRule="auto"/>
        <w:jc w:val="both"/>
      </w:pPr>
    </w:p>
    <w:p w14:paraId="208680CF" w14:textId="045AD3FB" w:rsidR="00BA3ED6" w:rsidRPr="00E8773F" w:rsidRDefault="00BA3ED6" w:rsidP="00CC6DCE">
      <w:pPr>
        <w:spacing w:line="276" w:lineRule="auto"/>
        <w:jc w:val="both"/>
        <w:rPr>
          <w:rFonts w:cs="Arial"/>
          <w:szCs w:val="24"/>
        </w:rPr>
      </w:pPr>
      <w:r w:rsidRPr="00E8773F">
        <w:rPr>
          <w:rFonts w:cs="Arial"/>
          <w:szCs w:val="24"/>
        </w:rPr>
        <w:t xml:space="preserve">The Cabinet </w:t>
      </w:r>
      <w:r w:rsidRPr="00E8773F">
        <w:rPr>
          <w:rFonts w:cs="Arial"/>
          <w:b/>
          <w:bCs/>
          <w:szCs w:val="24"/>
        </w:rPr>
        <w:t>recommend</w:t>
      </w:r>
      <w:r w:rsidR="00202A46">
        <w:rPr>
          <w:rFonts w:cs="Arial"/>
          <w:b/>
          <w:bCs/>
          <w:szCs w:val="24"/>
        </w:rPr>
        <w:t>s</w:t>
      </w:r>
      <w:r w:rsidRPr="00E8773F">
        <w:rPr>
          <w:rFonts w:cs="Arial"/>
          <w:szCs w:val="24"/>
        </w:rPr>
        <w:t xml:space="preserve"> the adoption of the</w:t>
      </w:r>
      <w:r w:rsidR="006652A9">
        <w:rPr>
          <w:rFonts w:cs="Arial"/>
          <w:szCs w:val="24"/>
        </w:rPr>
        <w:t xml:space="preserve"> revenue budget</w:t>
      </w:r>
      <w:r w:rsidRPr="00E8773F">
        <w:rPr>
          <w:rFonts w:cs="Arial"/>
          <w:szCs w:val="24"/>
        </w:rPr>
        <w:t xml:space="preserve"> proposals </w:t>
      </w:r>
      <w:r w:rsidR="006652A9">
        <w:rPr>
          <w:rFonts w:cs="Arial"/>
          <w:szCs w:val="24"/>
        </w:rPr>
        <w:t xml:space="preserve">as </w:t>
      </w:r>
      <w:r w:rsidRPr="00E8773F">
        <w:rPr>
          <w:rFonts w:cs="Arial"/>
          <w:szCs w:val="24"/>
        </w:rPr>
        <w:t xml:space="preserve">set out in </w:t>
      </w:r>
      <w:r w:rsidR="004026B6">
        <w:rPr>
          <w:rFonts w:cs="Arial"/>
          <w:szCs w:val="24"/>
        </w:rPr>
        <w:t xml:space="preserve">Appendix A and in </w:t>
      </w:r>
      <w:r w:rsidR="006652A9">
        <w:rPr>
          <w:rFonts w:cs="Arial"/>
          <w:szCs w:val="24"/>
        </w:rPr>
        <w:t>the table</w:t>
      </w:r>
      <w:r w:rsidR="0045344A">
        <w:rPr>
          <w:rFonts w:cs="Arial"/>
          <w:szCs w:val="24"/>
        </w:rPr>
        <w:t>s</w:t>
      </w:r>
      <w:r w:rsidR="006652A9">
        <w:rPr>
          <w:rFonts w:cs="Arial"/>
          <w:szCs w:val="24"/>
        </w:rPr>
        <w:t xml:space="preserve"> </w:t>
      </w:r>
      <w:r w:rsidRPr="00E8773F">
        <w:rPr>
          <w:rFonts w:cs="Arial"/>
          <w:szCs w:val="24"/>
        </w:rPr>
        <w:t>below</w:t>
      </w:r>
      <w:r w:rsidR="006652A9">
        <w:rPr>
          <w:rFonts w:cs="Arial"/>
          <w:szCs w:val="24"/>
        </w:rPr>
        <w:t>, which sets out the</w:t>
      </w:r>
      <w:r w:rsidRPr="00E8773F">
        <w:rPr>
          <w:rFonts w:cs="Arial"/>
          <w:szCs w:val="24"/>
        </w:rPr>
        <w:t xml:space="preserve"> proposed </w:t>
      </w:r>
      <w:r w:rsidR="00E8773F">
        <w:rPr>
          <w:rFonts w:cs="Arial"/>
          <w:szCs w:val="24"/>
        </w:rPr>
        <w:t>b</w:t>
      </w:r>
      <w:r w:rsidRPr="00E8773F">
        <w:rPr>
          <w:rFonts w:cs="Arial"/>
          <w:szCs w:val="24"/>
        </w:rPr>
        <w:t xml:space="preserve">udget </w:t>
      </w:r>
      <w:r w:rsidR="00E8773F">
        <w:rPr>
          <w:rFonts w:cs="Arial"/>
          <w:szCs w:val="24"/>
        </w:rPr>
        <w:t>a</w:t>
      </w:r>
      <w:r w:rsidRPr="00E8773F">
        <w:rPr>
          <w:rFonts w:cs="Arial"/>
          <w:szCs w:val="24"/>
        </w:rPr>
        <w:t xml:space="preserve">llocations to </w:t>
      </w:r>
      <w:r w:rsidR="0045344A">
        <w:rPr>
          <w:rFonts w:cs="Arial"/>
          <w:szCs w:val="24"/>
        </w:rPr>
        <w:t>services and other budget areas</w:t>
      </w:r>
      <w:r w:rsidR="006652A9">
        <w:rPr>
          <w:rFonts w:cs="Arial"/>
          <w:szCs w:val="24"/>
        </w:rPr>
        <w:t>.</w:t>
      </w:r>
      <w:r w:rsidR="00124FEA">
        <w:rPr>
          <w:rFonts w:cs="Arial"/>
          <w:szCs w:val="24"/>
        </w:rPr>
        <w:t xml:space="preserve"> It should be noted that the budget proposals tabled in January 2016 are further supported by £46.5m of one-off reserves. In addition</w:t>
      </w:r>
      <w:r w:rsidR="00B36792">
        <w:rPr>
          <w:rFonts w:cs="Arial"/>
          <w:szCs w:val="24"/>
        </w:rPr>
        <w:t xml:space="preserve">, </w:t>
      </w:r>
      <w:r w:rsidR="00124FEA">
        <w:rPr>
          <w:rFonts w:cs="Arial"/>
          <w:szCs w:val="24"/>
        </w:rPr>
        <w:t xml:space="preserve">£17.6m </w:t>
      </w:r>
      <w:r w:rsidR="00B36792">
        <w:rPr>
          <w:rFonts w:cs="Arial"/>
          <w:szCs w:val="24"/>
        </w:rPr>
        <w:t xml:space="preserve">of reserves are proposed </w:t>
      </w:r>
      <w:r w:rsidR="00124FEA">
        <w:rPr>
          <w:rFonts w:cs="Arial"/>
          <w:szCs w:val="24"/>
        </w:rPr>
        <w:t>to meet the funding gap</w:t>
      </w:r>
      <w:r w:rsidR="00B36792">
        <w:rPr>
          <w:rFonts w:cs="Arial"/>
          <w:szCs w:val="24"/>
        </w:rPr>
        <w:t xml:space="preserve">, </w:t>
      </w:r>
      <w:r w:rsidR="00124FEA">
        <w:rPr>
          <w:rFonts w:cs="Arial"/>
          <w:szCs w:val="24"/>
        </w:rPr>
        <w:t xml:space="preserve">resulting in a total of £64.1m reserves being utilised for the 2016/17 budget.  </w:t>
      </w:r>
    </w:p>
    <w:p w14:paraId="630852C0" w14:textId="77777777" w:rsidR="00BA3ED6" w:rsidRPr="00E8773F" w:rsidRDefault="00BA3ED6" w:rsidP="00CC6DCE">
      <w:pPr>
        <w:spacing w:line="276" w:lineRule="auto"/>
        <w:jc w:val="both"/>
      </w:pPr>
    </w:p>
    <w:tbl>
      <w:tblPr>
        <w:tblW w:w="7868" w:type="dxa"/>
        <w:jc w:val="center"/>
        <w:tblLayout w:type="fixed"/>
        <w:tblLook w:val="04A0" w:firstRow="1" w:lastRow="0" w:firstColumn="1" w:lastColumn="0" w:noHBand="0" w:noVBand="1"/>
      </w:tblPr>
      <w:tblGrid>
        <w:gridCol w:w="5089"/>
        <w:gridCol w:w="2779"/>
      </w:tblGrid>
      <w:tr w:rsidR="009A51EB" w:rsidRPr="003A0528" w14:paraId="7FBDB352" w14:textId="77777777" w:rsidTr="00314E5B">
        <w:trPr>
          <w:trHeight w:val="641"/>
          <w:jc w:val="center"/>
        </w:trPr>
        <w:tc>
          <w:tcPr>
            <w:tcW w:w="5089"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122EF6A0" w14:textId="35B019DE" w:rsidR="009A51EB" w:rsidRPr="003A0528" w:rsidRDefault="009A51EB" w:rsidP="003A0528">
            <w:pPr>
              <w:jc w:val="center"/>
              <w:rPr>
                <w:rFonts w:cs="Arial"/>
                <w:b/>
                <w:bCs/>
                <w:color w:val="000000"/>
                <w:sz w:val="22"/>
                <w:szCs w:val="22"/>
              </w:rPr>
            </w:pPr>
            <w:r w:rsidRPr="003A0528">
              <w:rPr>
                <w:rFonts w:cs="Arial"/>
                <w:b/>
                <w:bCs/>
                <w:color w:val="000000"/>
                <w:sz w:val="22"/>
                <w:szCs w:val="22"/>
              </w:rPr>
              <w:t>Revenue Budget 2016/17</w:t>
            </w:r>
          </w:p>
        </w:tc>
        <w:tc>
          <w:tcPr>
            <w:tcW w:w="2779" w:type="dxa"/>
            <w:tcBorders>
              <w:top w:val="single" w:sz="4" w:space="0" w:color="auto"/>
              <w:left w:val="single" w:sz="4" w:space="0" w:color="auto"/>
              <w:right w:val="single" w:sz="4" w:space="0" w:color="auto"/>
            </w:tcBorders>
            <w:shd w:val="clear" w:color="auto" w:fill="BFBFBF" w:themeFill="background1" w:themeFillShade="BF"/>
            <w:noWrap/>
            <w:vAlign w:val="bottom"/>
            <w:hideMark/>
          </w:tcPr>
          <w:p w14:paraId="0B31F76F" w14:textId="69118941" w:rsidR="009A51EB" w:rsidRPr="003A0528" w:rsidRDefault="009A51EB" w:rsidP="00C971DE">
            <w:pPr>
              <w:jc w:val="center"/>
              <w:rPr>
                <w:rFonts w:cs="Arial"/>
                <w:b/>
                <w:bCs/>
                <w:color w:val="000000"/>
                <w:sz w:val="22"/>
                <w:szCs w:val="22"/>
              </w:rPr>
            </w:pPr>
            <w:r w:rsidRPr="003A0528">
              <w:rPr>
                <w:rFonts w:cs="Arial"/>
                <w:b/>
                <w:bCs/>
                <w:color w:val="000000"/>
                <w:sz w:val="22"/>
                <w:szCs w:val="22"/>
              </w:rPr>
              <w:t>Net</w:t>
            </w:r>
            <w:r w:rsidR="006339C3">
              <w:rPr>
                <w:rFonts w:cs="Arial"/>
                <w:b/>
                <w:bCs/>
                <w:color w:val="000000"/>
                <w:sz w:val="22"/>
                <w:szCs w:val="22"/>
              </w:rPr>
              <w:t xml:space="preserve"> </w:t>
            </w:r>
            <w:r w:rsidRPr="003A0528">
              <w:rPr>
                <w:rFonts w:cs="Arial"/>
                <w:b/>
                <w:bCs/>
                <w:color w:val="000000"/>
                <w:sz w:val="22"/>
                <w:szCs w:val="22"/>
              </w:rPr>
              <w:t>Budget</w:t>
            </w:r>
          </w:p>
          <w:p w14:paraId="4C7A0279" w14:textId="16EE17D9" w:rsidR="009A51EB" w:rsidRPr="003A0528" w:rsidRDefault="009A51EB" w:rsidP="00C971DE">
            <w:pPr>
              <w:jc w:val="center"/>
              <w:rPr>
                <w:rFonts w:cs="Arial"/>
                <w:b/>
                <w:bCs/>
                <w:color w:val="000000"/>
                <w:sz w:val="22"/>
                <w:szCs w:val="22"/>
              </w:rPr>
            </w:pPr>
            <w:r w:rsidRPr="003A0528">
              <w:rPr>
                <w:rFonts w:cs="Arial"/>
                <w:b/>
                <w:bCs/>
                <w:color w:val="000000"/>
                <w:sz w:val="22"/>
                <w:szCs w:val="22"/>
              </w:rPr>
              <w:t>£m</w:t>
            </w:r>
          </w:p>
        </w:tc>
      </w:tr>
      <w:tr w:rsidR="001E18EE" w:rsidRPr="003A0528" w14:paraId="1674A633"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F9B70" w14:textId="7FCDAB31" w:rsidR="001E18EE" w:rsidRPr="003A0528" w:rsidRDefault="001E18EE" w:rsidP="001E18EE">
            <w:pPr>
              <w:rPr>
                <w:rFonts w:cs="Arial"/>
                <w:b/>
                <w:bCs/>
                <w:color w:val="000000"/>
                <w:sz w:val="22"/>
                <w:szCs w:val="22"/>
              </w:rPr>
            </w:pPr>
            <w:r>
              <w:rPr>
                <w:rFonts w:cs="Arial"/>
                <w:color w:val="000000"/>
                <w:sz w:val="22"/>
                <w:szCs w:val="22"/>
              </w:rPr>
              <w:t xml:space="preserve">Adult </w:t>
            </w:r>
            <w:r w:rsidRPr="003A0528">
              <w:rPr>
                <w:rFonts w:cs="Arial"/>
                <w:color w:val="000000"/>
                <w:sz w:val="22"/>
                <w:szCs w:val="22"/>
              </w:rPr>
              <w:t>Social Care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8D448" w14:textId="588641C8" w:rsidR="001E18EE" w:rsidRPr="003A0528" w:rsidRDefault="001E18EE" w:rsidP="001E18EE">
            <w:pPr>
              <w:jc w:val="right"/>
              <w:rPr>
                <w:rFonts w:cs="Arial"/>
                <w:b/>
                <w:bCs/>
                <w:color w:val="000000"/>
                <w:sz w:val="22"/>
                <w:szCs w:val="22"/>
              </w:rPr>
            </w:pPr>
            <w:r>
              <w:rPr>
                <w:rFonts w:cs="Arial"/>
                <w:color w:val="000000"/>
                <w:sz w:val="22"/>
              </w:rPr>
              <w:t>332.663</w:t>
            </w:r>
          </w:p>
        </w:tc>
      </w:tr>
      <w:tr w:rsidR="001E18EE" w:rsidRPr="003A0528" w14:paraId="4389963D"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641A385" w14:textId="63947D53" w:rsidR="001E18EE" w:rsidRPr="003A0528" w:rsidRDefault="001E18EE" w:rsidP="001E18EE">
            <w:pPr>
              <w:rPr>
                <w:rFonts w:cs="Arial"/>
                <w:color w:val="000000"/>
                <w:sz w:val="22"/>
                <w:szCs w:val="22"/>
              </w:rPr>
            </w:pPr>
            <w:r w:rsidRPr="003A0528">
              <w:rPr>
                <w:rFonts w:cs="Arial"/>
                <w:color w:val="000000"/>
                <w:sz w:val="22"/>
                <w:szCs w:val="22"/>
              </w:rPr>
              <w:t>Chief Executive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8EFF0" w14:textId="77B55977" w:rsidR="001E18EE" w:rsidRPr="003A0528" w:rsidRDefault="001E18EE" w:rsidP="001E18EE">
            <w:pPr>
              <w:ind w:left="-222"/>
              <w:jc w:val="right"/>
              <w:rPr>
                <w:rFonts w:cs="Arial"/>
                <w:color w:val="000000"/>
                <w:sz w:val="22"/>
                <w:szCs w:val="22"/>
              </w:rPr>
            </w:pPr>
            <w:r>
              <w:rPr>
                <w:rFonts w:cs="Arial"/>
                <w:color w:val="000000"/>
                <w:sz w:val="22"/>
              </w:rPr>
              <w:t>1.035</w:t>
            </w:r>
          </w:p>
        </w:tc>
      </w:tr>
      <w:tr w:rsidR="001E18EE" w:rsidRPr="003A0528" w14:paraId="327FDCB3"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0558A04" w14:textId="5B3B6D04" w:rsidR="001E18EE" w:rsidRPr="003A0528" w:rsidRDefault="001E18EE" w:rsidP="001E18EE">
            <w:pPr>
              <w:rPr>
                <w:rFonts w:cs="Arial"/>
                <w:color w:val="000000"/>
                <w:sz w:val="22"/>
                <w:szCs w:val="22"/>
              </w:rPr>
            </w:pPr>
            <w:r w:rsidRPr="003A0528">
              <w:rPr>
                <w:rFonts w:cs="Arial"/>
                <w:color w:val="000000"/>
                <w:sz w:val="22"/>
                <w:szCs w:val="22"/>
              </w:rPr>
              <w:t>Children's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73D85" w14:textId="4C3E01BA" w:rsidR="001E18EE" w:rsidRPr="003A0528" w:rsidRDefault="001E18EE" w:rsidP="001E18EE">
            <w:pPr>
              <w:jc w:val="right"/>
              <w:rPr>
                <w:rFonts w:cs="Arial"/>
                <w:color w:val="000000"/>
                <w:sz w:val="22"/>
                <w:szCs w:val="22"/>
              </w:rPr>
            </w:pPr>
            <w:r>
              <w:rPr>
                <w:rFonts w:cs="Arial"/>
                <w:color w:val="000000"/>
                <w:sz w:val="22"/>
              </w:rPr>
              <w:t>99.594</w:t>
            </w:r>
          </w:p>
        </w:tc>
      </w:tr>
      <w:tr w:rsidR="001E18EE" w:rsidRPr="003A0528" w14:paraId="6F0A3D93"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E42A082" w14:textId="45BA397B" w:rsidR="001E18EE" w:rsidRPr="003A0528" w:rsidRDefault="001E18EE" w:rsidP="001E18EE">
            <w:pPr>
              <w:rPr>
                <w:rFonts w:cs="Arial"/>
                <w:color w:val="000000"/>
                <w:sz w:val="22"/>
                <w:szCs w:val="22"/>
              </w:rPr>
            </w:pPr>
            <w:r w:rsidRPr="003A0528">
              <w:rPr>
                <w:rFonts w:cs="Arial"/>
                <w:color w:val="000000"/>
                <w:sz w:val="22"/>
                <w:szCs w:val="22"/>
              </w:rPr>
              <w:t>Community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99C9E" w14:textId="69F71E38" w:rsidR="001E18EE" w:rsidRPr="003A0528" w:rsidRDefault="001E18EE" w:rsidP="001E18EE">
            <w:pPr>
              <w:jc w:val="right"/>
              <w:rPr>
                <w:rFonts w:cs="Arial"/>
                <w:color w:val="000000"/>
                <w:sz w:val="22"/>
                <w:szCs w:val="22"/>
              </w:rPr>
            </w:pPr>
            <w:r>
              <w:rPr>
                <w:rFonts w:cs="Arial"/>
                <w:color w:val="000000"/>
                <w:sz w:val="22"/>
              </w:rPr>
              <w:t>129.024</w:t>
            </w:r>
          </w:p>
        </w:tc>
      </w:tr>
      <w:tr w:rsidR="001E18EE" w:rsidRPr="003A0528" w14:paraId="6D4AAB74"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6E92AFB" w14:textId="56C4DADC" w:rsidR="001E18EE" w:rsidRPr="003A0528" w:rsidRDefault="001E18EE" w:rsidP="001E18EE">
            <w:pPr>
              <w:rPr>
                <w:rFonts w:cs="Arial"/>
                <w:color w:val="000000"/>
                <w:sz w:val="22"/>
                <w:szCs w:val="22"/>
              </w:rPr>
            </w:pPr>
            <w:r w:rsidRPr="003A0528">
              <w:rPr>
                <w:rFonts w:cs="Arial"/>
                <w:color w:val="000000"/>
                <w:sz w:val="22"/>
                <w:szCs w:val="22"/>
              </w:rPr>
              <w:t>Corporate Commissioning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CA74B" w14:textId="21317079" w:rsidR="001E18EE" w:rsidRPr="003A0528" w:rsidRDefault="001E18EE" w:rsidP="001E18EE">
            <w:pPr>
              <w:jc w:val="right"/>
              <w:rPr>
                <w:rFonts w:cs="Arial"/>
                <w:color w:val="000000"/>
                <w:sz w:val="22"/>
                <w:szCs w:val="22"/>
              </w:rPr>
            </w:pPr>
            <w:r>
              <w:rPr>
                <w:rFonts w:cs="Arial"/>
                <w:color w:val="000000"/>
                <w:sz w:val="22"/>
              </w:rPr>
              <w:t>13.715</w:t>
            </w:r>
          </w:p>
        </w:tc>
      </w:tr>
      <w:tr w:rsidR="001E18EE" w:rsidRPr="003A0528" w14:paraId="0A709D72"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4A07EB8" w14:textId="522645A5" w:rsidR="001E18EE" w:rsidRPr="003A0528" w:rsidRDefault="001E18EE" w:rsidP="001E18EE">
            <w:pPr>
              <w:rPr>
                <w:rFonts w:cs="Arial"/>
                <w:color w:val="000000"/>
                <w:sz w:val="22"/>
                <w:szCs w:val="22"/>
              </w:rPr>
            </w:pPr>
            <w:r>
              <w:rPr>
                <w:rFonts w:cs="Arial"/>
                <w:color w:val="000000"/>
                <w:sz w:val="22"/>
                <w:szCs w:val="22"/>
              </w:rPr>
              <w:t>Customer Access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8B5E" w14:textId="2AD40974" w:rsidR="001E18EE" w:rsidRPr="003A0528" w:rsidRDefault="001E18EE" w:rsidP="001E18EE">
            <w:pPr>
              <w:jc w:val="right"/>
              <w:rPr>
                <w:rFonts w:cs="Arial"/>
                <w:color w:val="000000"/>
                <w:sz w:val="22"/>
                <w:szCs w:val="22"/>
              </w:rPr>
            </w:pPr>
            <w:r>
              <w:rPr>
                <w:rFonts w:cs="Arial"/>
                <w:color w:val="000000"/>
                <w:sz w:val="22"/>
              </w:rPr>
              <w:t>3.607</w:t>
            </w:r>
          </w:p>
        </w:tc>
      </w:tr>
      <w:tr w:rsidR="001E18EE" w:rsidRPr="003A0528" w14:paraId="24356297"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1D54E17A" w14:textId="35F43194" w:rsidR="001E18EE" w:rsidRPr="003A0528" w:rsidRDefault="001E18EE" w:rsidP="001E18EE">
            <w:pPr>
              <w:rPr>
                <w:rFonts w:cs="Arial"/>
                <w:color w:val="000000"/>
                <w:sz w:val="22"/>
                <w:szCs w:val="22"/>
              </w:rPr>
            </w:pPr>
            <w:r w:rsidRPr="003A0528">
              <w:rPr>
                <w:rFonts w:cs="Arial"/>
                <w:color w:val="000000"/>
                <w:sz w:val="22"/>
                <w:szCs w:val="22"/>
              </w:rPr>
              <w:t>Development and 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C9F3B" w14:textId="4EEE5575" w:rsidR="001E18EE" w:rsidRPr="003A0528" w:rsidRDefault="001E18EE" w:rsidP="001E18EE">
            <w:pPr>
              <w:jc w:val="right"/>
              <w:rPr>
                <w:rFonts w:cs="Arial"/>
                <w:color w:val="000000"/>
                <w:sz w:val="22"/>
                <w:szCs w:val="22"/>
              </w:rPr>
            </w:pPr>
            <w:r>
              <w:rPr>
                <w:rFonts w:cs="Arial"/>
                <w:color w:val="000000"/>
                <w:sz w:val="22"/>
              </w:rPr>
              <w:t>39.496</w:t>
            </w:r>
          </w:p>
        </w:tc>
      </w:tr>
      <w:tr w:rsidR="001E18EE" w:rsidRPr="003A0528" w14:paraId="338A53E4"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2F1411A0" w14:textId="7ECFAE05" w:rsidR="001E18EE" w:rsidRPr="003A0528" w:rsidRDefault="001E18EE" w:rsidP="001E18EE">
            <w:pPr>
              <w:rPr>
                <w:rFonts w:cs="Arial"/>
                <w:color w:val="000000"/>
                <w:sz w:val="22"/>
                <w:szCs w:val="22"/>
              </w:rPr>
            </w:pPr>
            <w:r w:rsidRPr="003A0528">
              <w:rPr>
                <w:rFonts w:cs="Arial"/>
                <w:color w:val="000000"/>
                <w:sz w:val="22"/>
                <w:szCs w:val="22"/>
              </w:rPr>
              <w:t>Governance, Finance and Public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DAC3" w14:textId="53392A04" w:rsidR="001E18EE" w:rsidRPr="003A0528" w:rsidRDefault="001E18EE" w:rsidP="001E18EE">
            <w:pPr>
              <w:jc w:val="right"/>
              <w:rPr>
                <w:rFonts w:cs="Arial"/>
                <w:color w:val="000000"/>
                <w:sz w:val="22"/>
                <w:szCs w:val="22"/>
              </w:rPr>
            </w:pPr>
            <w:r>
              <w:rPr>
                <w:rFonts w:cs="Arial"/>
                <w:color w:val="000000"/>
                <w:sz w:val="22"/>
              </w:rPr>
              <w:t>13.992</w:t>
            </w:r>
          </w:p>
        </w:tc>
      </w:tr>
      <w:tr w:rsidR="001E18EE" w:rsidRPr="003A0528" w14:paraId="642B3FF8"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5CC11EA1" w14:textId="58E8D42D" w:rsidR="001E18EE" w:rsidRPr="003A0528" w:rsidRDefault="001E18EE" w:rsidP="001E18EE">
            <w:pPr>
              <w:rPr>
                <w:rFonts w:cs="Arial"/>
                <w:color w:val="000000"/>
                <w:sz w:val="22"/>
                <w:szCs w:val="22"/>
              </w:rPr>
            </w:pPr>
            <w:r w:rsidRPr="003A0528">
              <w:rPr>
                <w:rFonts w:cs="Arial"/>
                <w:color w:val="000000"/>
                <w:sz w:val="22"/>
                <w:szCs w:val="22"/>
              </w:rPr>
              <w:t>Lancashire Pension Fund</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32ABC" w14:textId="52C52F54" w:rsidR="001E18EE" w:rsidRPr="003A0528" w:rsidRDefault="001E18EE" w:rsidP="001E18EE">
            <w:pPr>
              <w:jc w:val="right"/>
              <w:rPr>
                <w:rFonts w:cs="Arial"/>
                <w:color w:val="000000"/>
                <w:sz w:val="22"/>
                <w:szCs w:val="22"/>
              </w:rPr>
            </w:pPr>
            <w:r>
              <w:rPr>
                <w:rFonts w:cs="Arial"/>
                <w:color w:val="000000"/>
                <w:sz w:val="22"/>
              </w:rPr>
              <w:t>-2.097</w:t>
            </w:r>
          </w:p>
        </w:tc>
      </w:tr>
      <w:tr w:rsidR="001E18EE" w:rsidRPr="003A0528" w14:paraId="79A9D479"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6A41E67B" w14:textId="6495B7DA" w:rsidR="001E18EE" w:rsidRPr="003A0528" w:rsidRDefault="001E18EE" w:rsidP="001E18EE">
            <w:pPr>
              <w:rPr>
                <w:rFonts w:cs="Arial"/>
                <w:color w:val="000000"/>
                <w:sz w:val="22"/>
                <w:szCs w:val="22"/>
              </w:rPr>
            </w:pPr>
            <w:r w:rsidRPr="003A0528">
              <w:rPr>
                <w:rFonts w:cs="Arial"/>
                <w:color w:val="000000"/>
                <w:sz w:val="22"/>
                <w:szCs w:val="22"/>
              </w:rPr>
              <w:t>Corporate</w:t>
            </w:r>
            <w:r>
              <w:rPr>
                <w:rFonts w:cs="Arial"/>
                <w:color w:val="000000"/>
                <w:sz w:val="22"/>
                <w:szCs w:val="22"/>
              </w:rPr>
              <w:t xml:space="preserve"> &amp; Other </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49520" w14:textId="5B045129" w:rsidR="001E18EE" w:rsidRPr="003A0528" w:rsidRDefault="001E18EE" w:rsidP="001E18EE">
            <w:pPr>
              <w:ind w:left="-80"/>
              <w:jc w:val="right"/>
              <w:rPr>
                <w:rFonts w:cs="Arial"/>
                <w:color w:val="000000"/>
                <w:sz w:val="22"/>
                <w:szCs w:val="22"/>
              </w:rPr>
            </w:pPr>
            <w:r>
              <w:rPr>
                <w:rFonts w:cs="Arial"/>
                <w:color w:val="000000"/>
                <w:sz w:val="22"/>
              </w:rPr>
              <w:t>41.149</w:t>
            </w:r>
          </w:p>
        </w:tc>
      </w:tr>
      <w:tr w:rsidR="001E18EE" w:rsidRPr="003A0528" w14:paraId="329BBD2E"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03491CB9" w14:textId="5F1607F2" w:rsidR="001E18EE" w:rsidRPr="003A0528" w:rsidRDefault="001E18EE" w:rsidP="001E18EE">
            <w:pPr>
              <w:rPr>
                <w:rFonts w:cs="Arial"/>
                <w:color w:val="000000"/>
                <w:sz w:val="22"/>
                <w:szCs w:val="22"/>
              </w:rPr>
            </w:pPr>
            <w:r w:rsidRPr="003A0528">
              <w:rPr>
                <w:rFonts w:cs="Arial"/>
                <w:color w:val="000000"/>
                <w:sz w:val="22"/>
                <w:szCs w:val="22"/>
              </w:rPr>
              <w:t>Public Health</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D09BF" w14:textId="5AD3BBDC" w:rsidR="001E18EE" w:rsidRPr="003A0528" w:rsidRDefault="001E18EE" w:rsidP="001E18EE">
            <w:pPr>
              <w:jc w:val="right"/>
              <w:rPr>
                <w:rFonts w:cs="Arial"/>
                <w:color w:val="000000"/>
                <w:sz w:val="22"/>
                <w:szCs w:val="22"/>
              </w:rPr>
            </w:pPr>
            <w:r>
              <w:rPr>
                <w:rFonts w:cs="Arial"/>
                <w:bCs/>
                <w:color w:val="000000"/>
                <w:sz w:val="22"/>
              </w:rPr>
              <w:t>24.013</w:t>
            </w:r>
          </w:p>
        </w:tc>
      </w:tr>
      <w:tr w:rsidR="009A51EB" w:rsidRPr="003A0528" w14:paraId="27120003"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B54A8E" w14:textId="1EFF6B84" w:rsidR="009A51EB" w:rsidRPr="003A0528" w:rsidRDefault="009A51EB" w:rsidP="008B37AA">
            <w:pPr>
              <w:rPr>
                <w:rFonts w:cs="Arial"/>
                <w:color w:val="000000"/>
                <w:sz w:val="22"/>
                <w:szCs w:val="22"/>
              </w:rPr>
            </w:pPr>
            <w:r w:rsidRPr="00843F0E">
              <w:rPr>
                <w:rFonts w:cs="Arial"/>
                <w:b/>
                <w:bCs/>
                <w:color w:val="000000"/>
                <w:sz w:val="22"/>
                <w:szCs w:val="22"/>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2782AE3" w14:textId="02F10A51" w:rsidR="009A51EB" w:rsidRPr="00AA6A8D" w:rsidRDefault="00AA6A8D" w:rsidP="00AA6A8D">
            <w:pPr>
              <w:jc w:val="right"/>
              <w:rPr>
                <w:rFonts w:cs="Arial"/>
                <w:b/>
                <w:color w:val="000000"/>
                <w:sz w:val="22"/>
                <w:szCs w:val="22"/>
              </w:rPr>
            </w:pPr>
            <w:r w:rsidRPr="00AA6A8D">
              <w:rPr>
                <w:rFonts w:cs="Arial"/>
                <w:b/>
                <w:color w:val="000000"/>
                <w:sz w:val="22"/>
                <w:szCs w:val="22"/>
              </w:rPr>
              <w:t>696.191</w:t>
            </w:r>
          </w:p>
        </w:tc>
      </w:tr>
      <w:tr w:rsidR="009A51EB" w:rsidRPr="003A0528" w14:paraId="090D7FE4"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07F5" w14:textId="199F80FB" w:rsidR="009A51EB" w:rsidRPr="003A0528" w:rsidRDefault="009A51EB" w:rsidP="0045344A">
            <w:pPr>
              <w:rPr>
                <w:rFonts w:cs="Arial"/>
                <w:bCs/>
                <w:color w:val="000000"/>
                <w:sz w:val="22"/>
                <w:szCs w:val="22"/>
              </w:rPr>
            </w:pPr>
            <w:r w:rsidRPr="003A0528">
              <w:rPr>
                <w:rFonts w:cs="Arial"/>
                <w:color w:val="000000"/>
                <w:sz w:val="22"/>
                <w:szCs w:val="22"/>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843CB" w14:textId="78AECE4A" w:rsidR="009A51EB" w:rsidRPr="00AA6A8D" w:rsidRDefault="00AA6A8D" w:rsidP="009A51EB">
            <w:pPr>
              <w:jc w:val="right"/>
              <w:rPr>
                <w:rFonts w:cs="Arial"/>
                <w:bCs/>
                <w:color w:val="000000"/>
                <w:sz w:val="22"/>
                <w:szCs w:val="22"/>
              </w:rPr>
            </w:pPr>
            <w:r w:rsidRPr="00AA6A8D">
              <w:rPr>
                <w:rFonts w:cs="Arial"/>
                <w:color w:val="000000"/>
                <w:sz w:val="22"/>
                <w:szCs w:val="22"/>
              </w:rPr>
              <w:t>33.324</w:t>
            </w:r>
          </w:p>
        </w:tc>
      </w:tr>
      <w:tr w:rsidR="009A51EB" w:rsidRPr="003A0528" w14:paraId="70E9FAB4"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009B2" w14:textId="5D7CD147" w:rsidR="009A51EB" w:rsidRPr="003A0528" w:rsidRDefault="009A51EB" w:rsidP="0045344A">
            <w:pPr>
              <w:rPr>
                <w:rFonts w:cs="Arial"/>
                <w:color w:val="000000"/>
                <w:sz w:val="22"/>
                <w:szCs w:val="22"/>
              </w:rPr>
            </w:pPr>
            <w:r w:rsidRPr="003A0528">
              <w:rPr>
                <w:rFonts w:cs="Arial"/>
                <w:color w:val="000000"/>
                <w:sz w:val="22"/>
                <w:szCs w:val="22"/>
              </w:rPr>
              <w:t>Use of one off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F48D6" w14:textId="6E1DBCC7" w:rsidR="009A51EB" w:rsidRPr="00AA6A8D" w:rsidRDefault="009A51EB" w:rsidP="009A51EB">
            <w:pPr>
              <w:jc w:val="right"/>
              <w:rPr>
                <w:rFonts w:cs="Arial"/>
                <w:color w:val="000000"/>
                <w:sz w:val="22"/>
                <w:szCs w:val="22"/>
              </w:rPr>
            </w:pPr>
            <w:r w:rsidRPr="00AA6A8D">
              <w:rPr>
                <w:rFonts w:cs="Arial"/>
                <w:color w:val="000000"/>
                <w:sz w:val="22"/>
                <w:szCs w:val="22"/>
              </w:rPr>
              <w:t>-17.603</w:t>
            </w:r>
          </w:p>
        </w:tc>
      </w:tr>
      <w:tr w:rsidR="009A51EB" w:rsidRPr="00AA6A8D" w14:paraId="0800FC3D" w14:textId="77777777" w:rsidTr="00314E5B">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43B7BD" w14:textId="475BA97E" w:rsidR="009A51EB" w:rsidRPr="0045344A" w:rsidRDefault="009A51EB" w:rsidP="009A51EB">
            <w:pPr>
              <w:rPr>
                <w:rFonts w:cs="Arial"/>
                <w:color w:val="000000"/>
                <w:sz w:val="23"/>
                <w:szCs w:val="23"/>
              </w:rPr>
            </w:pPr>
            <w:r w:rsidRPr="0045344A">
              <w:rPr>
                <w:rFonts w:cs="Arial"/>
                <w:b/>
                <w:bCs/>
                <w:color w:val="000000"/>
                <w:sz w:val="23"/>
                <w:szCs w:val="23"/>
              </w:rPr>
              <w:t xml:space="preserve">Revenue budget </w:t>
            </w:r>
            <w:r>
              <w:rPr>
                <w:rFonts w:cs="Arial"/>
                <w:b/>
                <w:bCs/>
                <w:color w:val="000000"/>
                <w:sz w:val="23"/>
                <w:szCs w:val="23"/>
              </w:rPr>
              <w:t>2016/17</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33A2FF" w14:textId="074551BA" w:rsidR="009A51EB" w:rsidRPr="00AA6A8D" w:rsidRDefault="009A51EB" w:rsidP="00AA6A8D">
            <w:pPr>
              <w:jc w:val="right"/>
              <w:rPr>
                <w:rFonts w:cs="Arial"/>
                <w:color w:val="000000"/>
                <w:sz w:val="23"/>
                <w:szCs w:val="23"/>
              </w:rPr>
            </w:pPr>
            <w:r w:rsidRPr="00AA6A8D">
              <w:rPr>
                <w:rFonts w:cs="Arial"/>
                <w:b/>
                <w:bCs/>
                <w:color w:val="000000"/>
                <w:sz w:val="23"/>
                <w:szCs w:val="23"/>
              </w:rPr>
              <w:t>71</w:t>
            </w:r>
            <w:r w:rsidR="00AA6A8D">
              <w:rPr>
                <w:rFonts w:cs="Arial"/>
                <w:b/>
                <w:bCs/>
                <w:color w:val="000000"/>
                <w:sz w:val="23"/>
                <w:szCs w:val="23"/>
              </w:rPr>
              <w:t>1.</w:t>
            </w:r>
            <w:r w:rsidR="00843F0E" w:rsidRPr="00AA6A8D">
              <w:rPr>
                <w:rFonts w:cs="Arial"/>
                <w:b/>
                <w:bCs/>
                <w:color w:val="000000"/>
                <w:sz w:val="23"/>
                <w:szCs w:val="23"/>
              </w:rPr>
              <w:t>9</w:t>
            </w:r>
            <w:r w:rsidR="00AA6A8D">
              <w:rPr>
                <w:rFonts w:cs="Arial"/>
                <w:b/>
                <w:bCs/>
                <w:color w:val="000000"/>
                <w:sz w:val="23"/>
                <w:szCs w:val="23"/>
              </w:rPr>
              <w:t>1</w:t>
            </w:r>
            <w:r w:rsidR="00843F0E" w:rsidRPr="00AA6A8D">
              <w:rPr>
                <w:rFonts w:cs="Arial"/>
                <w:b/>
                <w:bCs/>
                <w:color w:val="000000"/>
                <w:sz w:val="23"/>
                <w:szCs w:val="23"/>
              </w:rPr>
              <w:t>2</w:t>
            </w:r>
          </w:p>
        </w:tc>
      </w:tr>
    </w:tbl>
    <w:p w14:paraId="07BFBAE1" w14:textId="265DE8E1" w:rsidR="00004ACB" w:rsidRPr="00620840" w:rsidRDefault="00004ACB" w:rsidP="00620840">
      <w:pPr>
        <w:numPr>
          <w:ilvl w:val="0"/>
          <w:numId w:val="2"/>
        </w:numPr>
        <w:spacing w:line="276" w:lineRule="auto"/>
        <w:jc w:val="both"/>
        <w:rPr>
          <w:rFonts w:cs="Arial"/>
          <w:b/>
          <w:szCs w:val="24"/>
        </w:rPr>
      </w:pPr>
      <w:r w:rsidRPr="00620840">
        <w:rPr>
          <w:rFonts w:cs="Arial"/>
          <w:b/>
          <w:szCs w:val="24"/>
        </w:rPr>
        <w:lastRenderedPageBreak/>
        <w:t>Capital Investment Strategy 201</w:t>
      </w:r>
      <w:r w:rsidR="00CD25C7" w:rsidRPr="00620840">
        <w:rPr>
          <w:rFonts w:cs="Arial"/>
          <w:b/>
          <w:szCs w:val="24"/>
        </w:rPr>
        <w:t>6</w:t>
      </w:r>
      <w:r w:rsidRPr="00620840">
        <w:rPr>
          <w:rFonts w:cs="Arial"/>
          <w:b/>
          <w:szCs w:val="24"/>
        </w:rPr>
        <w:t>/1</w:t>
      </w:r>
      <w:r w:rsidR="00CD25C7" w:rsidRPr="00620840">
        <w:rPr>
          <w:rFonts w:cs="Arial"/>
          <w:b/>
          <w:szCs w:val="24"/>
        </w:rPr>
        <w:t>7</w:t>
      </w:r>
      <w:r w:rsidR="00620840">
        <w:rPr>
          <w:rFonts w:cs="Arial"/>
          <w:b/>
          <w:szCs w:val="24"/>
        </w:rPr>
        <w:t xml:space="preserve"> and beyond</w:t>
      </w:r>
    </w:p>
    <w:p w14:paraId="6170FECA" w14:textId="77777777" w:rsidR="00004ACB" w:rsidRPr="00620840" w:rsidRDefault="00004ACB" w:rsidP="00620840">
      <w:pPr>
        <w:pStyle w:val="BodyText"/>
        <w:spacing w:line="276" w:lineRule="auto"/>
        <w:jc w:val="both"/>
        <w:rPr>
          <w:rFonts w:cs="Arial"/>
          <w:szCs w:val="24"/>
        </w:rPr>
      </w:pPr>
    </w:p>
    <w:p w14:paraId="46EB6CEE" w14:textId="161F2749" w:rsidR="00004ACB" w:rsidRPr="00620840" w:rsidRDefault="00004ACB" w:rsidP="00620840">
      <w:pPr>
        <w:pStyle w:val="BodyText"/>
        <w:spacing w:line="276" w:lineRule="auto"/>
        <w:jc w:val="both"/>
        <w:rPr>
          <w:rFonts w:cs="Arial"/>
          <w:szCs w:val="24"/>
        </w:rPr>
      </w:pPr>
      <w:r w:rsidRPr="00620840">
        <w:rPr>
          <w:rFonts w:cs="Arial"/>
          <w:szCs w:val="24"/>
        </w:rPr>
        <w:t xml:space="preserve">The Cabinet </w:t>
      </w:r>
      <w:r w:rsidRPr="00620840">
        <w:rPr>
          <w:rFonts w:cs="Arial"/>
          <w:b/>
          <w:szCs w:val="24"/>
        </w:rPr>
        <w:t>recommends</w:t>
      </w:r>
      <w:r w:rsidRPr="00620840">
        <w:rPr>
          <w:rFonts w:cs="Arial"/>
          <w:szCs w:val="24"/>
        </w:rPr>
        <w:t xml:space="preserve"> the adoption of the proposals for the Capital Investment Strategy 201</w:t>
      </w:r>
      <w:r w:rsidR="007870AE" w:rsidRPr="00620840">
        <w:rPr>
          <w:rFonts w:cs="Arial"/>
          <w:szCs w:val="24"/>
        </w:rPr>
        <w:t>6</w:t>
      </w:r>
      <w:r w:rsidRPr="00620840">
        <w:rPr>
          <w:rFonts w:cs="Arial"/>
          <w:szCs w:val="24"/>
        </w:rPr>
        <w:t>/1</w:t>
      </w:r>
      <w:r w:rsidR="007870AE" w:rsidRPr="00620840">
        <w:rPr>
          <w:rFonts w:cs="Arial"/>
          <w:szCs w:val="24"/>
        </w:rPr>
        <w:t>7</w:t>
      </w:r>
      <w:r w:rsidRPr="00620840">
        <w:rPr>
          <w:rFonts w:cs="Arial"/>
          <w:szCs w:val="24"/>
        </w:rPr>
        <w:t xml:space="preserve"> and future years as set out at Appendix A.</w:t>
      </w:r>
    </w:p>
    <w:p w14:paraId="02AB7BF9" w14:textId="77777777" w:rsidR="00004ACB" w:rsidRPr="00620840" w:rsidRDefault="00004ACB" w:rsidP="00620840">
      <w:pPr>
        <w:spacing w:line="276" w:lineRule="auto"/>
        <w:jc w:val="both"/>
        <w:rPr>
          <w:rFonts w:cs="Arial"/>
          <w:b/>
          <w:szCs w:val="24"/>
        </w:rPr>
      </w:pPr>
    </w:p>
    <w:p w14:paraId="3A400F1D" w14:textId="6E9164DC" w:rsidR="00CB5AF9" w:rsidRPr="00620840" w:rsidRDefault="00CB5AF9" w:rsidP="00620840">
      <w:pPr>
        <w:pStyle w:val="ListParagraph"/>
        <w:numPr>
          <w:ilvl w:val="0"/>
          <w:numId w:val="2"/>
        </w:numPr>
        <w:spacing w:line="276" w:lineRule="auto"/>
        <w:jc w:val="both"/>
        <w:rPr>
          <w:rFonts w:cs="Arial"/>
          <w:b/>
          <w:szCs w:val="24"/>
        </w:rPr>
      </w:pPr>
      <w:r w:rsidRPr="00620840">
        <w:rPr>
          <w:rFonts w:cs="Arial"/>
          <w:b/>
          <w:szCs w:val="24"/>
        </w:rPr>
        <w:t>Council Tax and Precept 20</w:t>
      </w:r>
      <w:r w:rsidR="000E0723" w:rsidRPr="00620840">
        <w:rPr>
          <w:rFonts w:cs="Arial"/>
          <w:b/>
          <w:szCs w:val="24"/>
        </w:rPr>
        <w:t>1</w:t>
      </w:r>
      <w:r w:rsidR="00CD25C7" w:rsidRPr="00620840">
        <w:rPr>
          <w:rFonts w:cs="Arial"/>
          <w:b/>
          <w:szCs w:val="24"/>
        </w:rPr>
        <w:t>6</w:t>
      </w:r>
      <w:r w:rsidR="001340F2" w:rsidRPr="00620840">
        <w:rPr>
          <w:rFonts w:cs="Arial"/>
          <w:b/>
          <w:szCs w:val="24"/>
        </w:rPr>
        <w:t>/1</w:t>
      </w:r>
      <w:r w:rsidR="00CD25C7" w:rsidRPr="00620840">
        <w:rPr>
          <w:rFonts w:cs="Arial"/>
          <w:b/>
          <w:szCs w:val="24"/>
        </w:rPr>
        <w:t>7</w:t>
      </w:r>
    </w:p>
    <w:p w14:paraId="46909E1B" w14:textId="77777777" w:rsidR="00CB5AF9" w:rsidRPr="00620840" w:rsidRDefault="00CB5AF9" w:rsidP="00620840">
      <w:pPr>
        <w:spacing w:line="276" w:lineRule="auto"/>
        <w:jc w:val="both"/>
        <w:rPr>
          <w:rFonts w:cs="Arial"/>
          <w:szCs w:val="24"/>
        </w:rPr>
      </w:pPr>
    </w:p>
    <w:p w14:paraId="350E5218" w14:textId="22588ACE" w:rsidR="00CB5AF9" w:rsidRPr="00620840" w:rsidRDefault="00CB5AF9" w:rsidP="00620840">
      <w:pPr>
        <w:spacing w:line="276" w:lineRule="auto"/>
        <w:jc w:val="both"/>
        <w:rPr>
          <w:rFonts w:cs="Arial"/>
          <w:szCs w:val="24"/>
        </w:rPr>
      </w:pPr>
      <w:r w:rsidRPr="00620840">
        <w:rPr>
          <w:rFonts w:cs="Arial"/>
          <w:szCs w:val="24"/>
        </w:rPr>
        <w:t xml:space="preserve">The Cabinet </w:t>
      </w:r>
      <w:r w:rsidRPr="00620840">
        <w:rPr>
          <w:rFonts w:cs="Arial"/>
          <w:b/>
          <w:szCs w:val="24"/>
        </w:rPr>
        <w:t>recommend</w:t>
      </w:r>
      <w:r w:rsidR="00202A46" w:rsidRPr="00620840">
        <w:rPr>
          <w:rFonts w:cs="Arial"/>
          <w:b/>
          <w:szCs w:val="24"/>
        </w:rPr>
        <w:t>s</w:t>
      </w:r>
      <w:r w:rsidRPr="00620840">
        <w:rPr>
          <w:rFonts w:cs="Arial"/>
          <w:szCs w:val="24"/>
        </w:rPr>
        <w:t xml:space="preserve"> the </w:t>
      </w:r>
      <w:r w:rsidR="00FE1A63" w:rsidRPr="00620840">
        <w:rPr>
          <w:rFonts w:cs="Arial"/>
          <w:szCs w:val="24"/>
        </w:rPr>
        <w:t>Full</w:t>
      </w:r>
      <w:r w:rsidRPr="00620840">
        <w:rPr>
          <w:rFonts w:cs="Arial"/>
          <w:szCs w:val="24"/>
        </w:rPr>
        <w:t xml:space="preserve"> Council to authorise, in pursuance of the provisions of the Local Government Finance Act 1992, and in order to meet the general expenses of the County Council for the financial year 20</w:t>
      </w:r>
      <w:r w:rsidR="000E0723" w:rsidRPr="00620840">
        <w:rPr>
          <w:rFonts w:cs="Arial"/>
          <w:szCs w:val="24"/>
        </w:rPr>
        <w:t>1</w:t>
      </w:r>
      <w:r w:rsidR="007870AE" w:rsidRPr="00620840">
        <w:rPr>
          <w:rFonts w:cs="Arial"/>
          <w:szCs w:val="24"/>
        </w:rPr>
        <w:t>6</w:t>
      </w:r>
      <w:r w:rsidR="00E45ADF" w:rsidRPr="00620840">
        <w:rPr>
          <w:rFonts w:cs="Arial"/>
          <w:szCs w:val="24"/>
        </w:rPr>
        <w:t>/16</w:t>
      </w:r>
      <w:r w:rsidR="007870AE" w:rsidRPr="00620840">
        <w:rPr>
          <w:rFonts w:cs="Arial"/>
          <w:szCs w:val="24"/>
        </w:rPr>
        <w:t>7</w:t>
      </w:r>
    </w:p>
    <w:p w14:paraId="017025DC" w14:textId="77777777" w:rsidR="00421E0F" w:rsidRPr="00620840" w:rsidRDefault="00421E0F" w:rsidP="00620840">
      <w:pPr>
        <w:spacing w:line="276" w:lineRule="auto"/>
        <w:jc w:val="both"/>
        <w:rPr>
          <w:rFonts w:cs="Arial"/>
          <w:szCs w:val="24"/>
        </w:rPr>
      </w:pPr>
    </w:p>
    <w:p w14:paraId="466912CF" w14:textId="72D5EC45" w:rsidR="00CB5AF9" w:rsidRPr="00BB44AF" w:rsidRDefault="00CB5AF9" w:rsidP="00BB44AF">
      <w:pPr>
        <w:pStyle w:val="ListParagraph"/>
        <w:numPr>
          <w:ilvl w:val="0"/>
          <w:numId w:val="37"/>
        </w:numPr>
        <w:spacing w:line="276" w:lineRule="auto"/>
        <w:ind w:left="360"/>
        <w:jc w:val="both"/>
        <w:rPr>
          <w:rFonts w:cs="Arial"/>
          <w:szCs w:val="24"/>
        </w:rPr>
      </w:pPr>
      <w:r w:rsidRPr="00BB44AF">
        <w:rPr>
          <w:rFonts w:cs="Arial"/>
          <w:szCs w:val="24"/>
        </w:rPr>
        <w:t>Budget</w:t>
      </w:r>
      <w:r w:rsidR="00FE1A63" w:rsidRPr="00BB44AF">
        <w:rPr>
          <w:rFonts w:cs="Arial"/>
          <w:szCs w:val="24"/>
        </w:rPr>
        <w:t xml:space="preserve">, Council Tax </w:t>
      </w:r>
      <w:r w:rsidRPr="00BB44AF">
        <w:rPr>
          <w:rFonts w:cs="Arial"/>
          <w:szCs w:val="24"/>
        </w:rPr>
        <w:t>Requirement and Precept for 20</w:t>
      </w:r>
      <w:r w:rsidR="000E0723" w:rsidRPr="00BB44AF">
        <w:rPr>
          <w:rFonts w:cs="Arial"/>
          <w:szCs w:val="24"/>
        </w:rPr>
        <w:t>1</w:t>
      </w:r>
      <w:r w:rsidR="00CD25C7" w:rsidRPr="00BB44AF">
        <w:rPr>
          <w:rFonts w:cs="Arial"/>
          <w:szCs w:val="24"/>
        </w:rPr>
        <w:t>6</w:t>
      </w:r>
      <w:r w:rsidR="00DD1F36" w:rsidRPr="00BB44AF">
        <w:rPr>
          <w:rFonts w:cs="Arial"/>
          <w:szCs w:val="24"/>
        </w:rPr>
        <w:t>/1</w:t>
      </w:r>
      <w:r w:rsidR="00CD25C7" w:rsidRPr="00BB44AF">
        <w:rPr>
          <w:rFonts w:cs="Arial"/>
          <w:szCs w:val="24"/>
        </w:rPr>
        <w:t>7</w:t>
      </w:r>
      <w:r w:rsidRPr="00BB44AF">
        <w:rPr>
          <w:rFonts w:cs="Arial"/>
          <w:szCs w:val="24"/>
        </w:rPr>
        <w:t>:</w:t>
      </w:r>
    </w:p>
    <w:p w14:paraId="4966FCB5" w14:textId="77777777" w:rsidR="00620840" w:rsidRDefault="00F25140" w:rsidP="00620840">
      <w:pPr>
        <w:spacing w:line="276" w:lineRule="auto"/>
        <w:jc w:val="both"/>
        <w:rPr>
          <w:rFonts w:cs="Arial"/>
          <w:szCs w:val="24"/>
        </w:rPr>
      </w:pPr>
      <w:r w:rsidRPr="00620840">
        <w:rPr>
          <w:rFonts w:cs="Arial"/>
          <w:szCs w:val="24"/>
        </w:rPr>
        <w:t xml:space="preserve"> </w:t>
      </w:r>
    </w:p>
    <w:p w14:paraId="4F51C89C" w14:textId="0EF99003" w:rsidR="007870AE" w:rsidRPr="00620840" w:rsidRDefault="00F25140" w:rsidP="00BB44AF">
      <w:pPr>
        <w:spacing w:line="276" w:lineRule="auto"/>
        <w:ind w:firstLine="360"/>
        <w:jc w:val="both"/>
        <w:rPr>
          <w:rFonts w:cs="Arial"/>
          <w:szCs w:val="24"/>
        </w:rPr>
      </w:pPr>
      <w:r w:rsidRPr="00620840">
        <w:rPr>
          <w:rFonts w:cs="Arial"/>
          <w:szCs w:val="24"/>
        </w:rPr>
        <w:t>That the</w:t>
      </w:r>
      <w:r w:rsidR="007870AE" w:rsidRPr="00620840">
        <w:rPr>
          <w:rFonts w:cs="Arial"/>
          <w:szCs w:val="24"/>
        </w:rPr>
        <w:t xml:space="preserve"> band D</w:t>
      </w:r>
      <w:r w:rsidRPr="00620840">
        <w:rPr>
          <w:rFonts w:cs="Arial"/>
          <w:szCs w:val="24"/>
        </w:rPr>
        <w:t xml:space="preserve"> Council Tax for 2016/17 is increased</w:t>
      </w:r>
      <w:r w:rsidR="007870AE" w:rsidRPr="00620840">
        <w:rPr>
          <w:rFonts w:cs="Arial"/>
          <w:szCs w:val="24"/>
        </w:rPr>
        <w:t xml:space="preserve"> by:</w:t>
      </w:r>
    </w:p>
    <w:p w14:paraId="374DB291" w14:textId="77777777" w:rsidR="007870AE" w:rsidRPr="00620840" w:rsidRDefault="007870AE" w:rsidP="00620840">
      <w:pPr>
        <w:spacing w:line="276" w:lineRule="auto"/>
        <w:jc w:val="both"/>
        <w:rPr>
          <w:rFonts w:cs="Arial"/>
          <w:szCs w:val="24"/>
        </w:rPr>
      </w:pPr>
    </w:p>
    <w:p w14:paraId="4E90A6F1" w14:textId="0CD5DCD6" w:rsidR="00620840" w:rsidRPr="00BB44AF" w:rsidRDefault="00620840" w:rsidP="00BB44AF">
      <w:pPr>
        <w:pStyle w:val="ListParagraph"/>
        <w:numPr>
          <w:ilvl w:val="0"/>
          <w:numId w:val="36"/>
        </w:numPr>
        <w:spacing w:line="276" w:lineRule="auto"/>
        <w:ind w:left="360"/>
        <w:jc w:val="both"/>
        <w:rPr>
          <w:rFonts w:cs="Arial"/>
          <w:szCs w:val="24"/>
        </w:rPr>
      </w:pPr>
      <w:r w:rsidRPr="00BB44AF">
        <w:rPr>
          <w:rFonts w:cs="Arial"/>
          <w:szCs w:val="24"/>
        </w:rPr>
        <w:t>A</w:t>
      </w:r>
      <w:r w:rsidR="00215D93" w:rsidRPr="00BB44AF">
        <w:rPr>
          <w:rFonts w:cs="Arial"/>
          <w:szCs w:val="24"/>
        </w:rPr>
        <w:t xml:space="preserve">dult Social Care Precept </w:t>
      </w:r>
      <w:r w:rsidR="007870AE" w:rsidRPr="00BB44AF">
        <w:rPr>
          <w:rFonts w:cs="Arial"/>
          <w:szCs w:val="24"/>
        </w:rPr>
        <w:t>2% being an increase of £22.60</w:t>
      </w:r>
    </w:p>
    <w:p w14:paraId="7C36D98F" w14:textId="298A328D" w:rsidR="00F25140" w:rsidRPr="00620840" w:rsidRDefault="00F25140" w:rsidP="00BB44AF">
      <w:pPr>
        <w:spacing w:line="276" w:lineRule="auto"/>
        <w:ind w:firstLine="60"/>
        <w:jc w:val="both"/>
        <w:rPr>
          <w:rFonts w:cs="Arial"/>
          <w:szCs w:val="24"/>
        </w:rPr>
      </w:pPr>
    </w:p>
    <w:p w14:paraId="0A1DA661" w14:textId="296F4772" w:rsidR="007870AE" w:rsidRPr="00BB44AF" w:rsidRDefault="00215D93" w:rsidP="00BB44AF">
      <w:pPr>
        <w:pStyle w:val="ListParagraph"/>
        <w:numPr>
          <w:ilvl w:val="0"/>
          <w:numId w:val="36"/>
        </w:numPr>
        <w:spacing w:line="276" w:lineRule="auto"/>
        <w:ind w:left="360"/>
        <w:jc w:val="both"/>
        <w:rPr>
          <w:rFonts w:cs="Arial"/>
          <w:szCs w:val="24"/>
        </w:rPr>
      </w:pPr>
      <w:r w:rsidRPr="00BB44AF">
        <w:rPr>
          <w:rFonts w:cs="Arial"/>
          <w:szCs w:val="24"/>
        </w:rPr>
        <w:t xml:space="preserve">General Council Tax </w:t>
      </w:r>
      <w:r w:rsidR="007870AE" w:rsidRPr="00BB44AF">
        <w:rPr>
          <w:rFonts w:cs="Arial"/>
          <w:szCs w:val="24"/>
        </w:rPr>
        <w:t>1.99% being an increase of £22.48</w:t>
      </w:r>
    </w:p>
    <w:p w14:paraId="48035748" w14:textId="77777777" w:rsidR="00FE1A63" w:rsidRPr="00620840" w:rsidRDefault="00FE1A63" w:rsidP="00620840">
      <w:pPr>
        <w:spacing w:line="276" w:lineRule="auto"/>
        <w:ind w:left="720"/>
        <w:jc w:val="both"/>
        <w:rPr>
          <w:rFonts w:cs="Arial"/>
          <w:szCs w:val="24"/>
        </w:rPr>
      </w:pPr>
    </w:p>
    <w:p w14:paraId="0EA686B3" w14:textId="52A98512" w:rsidR="007870AE" w:rsidRPr="00620840" w:rsidRDefault="007870AE" w:rsidP="00620840">
      <w:pPr>
        <w:spacing w:line="276" w:lineRule="auto"/>
        <w:jc w:val="both"/>
        <w:rPr>
          <w:rFonts w:cs="Arial"/>
          <w:szCs w:val="24"/>
        </w:rPr>
      </w:pPr>
      <w:r w:rsidRPr="00620840">
        <w:rPr>
          <w:rFonts w:cs="Arial"/>
          <w:szCs w:val="24"/>
        </w:rPr>
        <w:t>This gives an over</w:t>
      </w:r>
      <w:r w:rsidR="00620840">
        <w:rPr>
          <w:rFonts w:cs="Arial"/>
          <w:szCs w:val="24"/>
        </w:rPr>
        <w:t>all position of:</w:t>
      </w:r>
    </w:p>
    <w:p w14:paraId="21E94FC9" w14:textId="77777777" w:rsidR="007870AE" w:rsidRPr="00620840" w:rsidRDefault="007870AE" w:rsidP="00620840">
      <w:pPr>
        <w:spacing w:line="276" w:lineRule="auto"/>
        <w:ind w:left="720"/>
        <w:jc w:val="both"/>
        <w:rPr>
          <w:rFonts w:cs="Arial"/>
          <w:szCs w:val="24"/>
        </w:rPr>
      </w:pPr>
    </w:p>
    <w:tbl>
      <w:tblPr>
        <w:tblStyle w:val="TableGrid51"/>
        <w:tblW w:w="0" w:type="auto"/>
        <w:jc w:val="center"/>
        <w:tblLook w:val="04A0" w:firstRow="1" w:lastRow="0" w:firstColumn="1" w:lastColumn="0" w:noHBand="0" w:noVBand="1"/>
      </w:tblPr>
      <w:tblGrid>
        <w:gridCol w:w="5681"/>
        <w:gridCol w:w="2505"/>
      </w:tblGrid>
      <w:tr w:rsidR="00314E5B" w:rsidRPr="00314E5B" w14:paraId="04CB8875" w14:textId="77777777" w:rsidTr="00314E5B">
        <w:trPr>
          <w:trHeight w:val="377"/>
          <w:jc w:val="center"/>
        </w:trPr>
        <w:tc>
          <w:tcPr>
            <w:tcW w:w="5681" w:type="dxa"/>
            <w:shd w:val="clear" w:color="auto" w:fill="BFBFBF" w:themeFill="background1" w:themeFillShade="BF"/>
            <w:vAlign w:val="center"/>
          </w:tcPr>
          <w:p w14:paraId="4B6A0E20" w14:textId="77777777" w:rsidR="00314E5B" w:rsidRPr="00314E5B" w:rsidRDefault="00314E5B" w:rsidP="00314E5B">
            <w:pPr>
              <w:autoSpaceDE w:val="0"/>
              <w:autoSpaceDN w:val="0"/>
              <w:adjustRightInd w:val="0"/>
              <w:spacing w:line="276" w:lineRule="auto"/>
              <w:jc w:val="both"/>
              <w:rPr>
                <w:rFonts w:cs="Arial"/>
                <w:b/>
                <w:sz w:val="22"/>
              </w:rPr>
            </w:pPr>
          </w:p>
        </w:tc>
        <w:tc>
          <w:tcPr>
            <w:tcW w:w="2505" w:type="dxa"/>
            <w:shd w:val="clear" w:color="auto" w:fill="BFBFBF" w:themeFill="background1" w:themeFillShade="BF"/>
            <w:vAlign w:val="center"/>
          </w:tcPr>
          <w:p w14:paraId="3EACC342" w14:textId="77777777" w:rsidR="00314E5B" w:rsidRPr="00314E5B" w:rsidRDefault="00314E5B" w:rsidP="00314E5B">
            <w:pPr>
              <w:autoSpaceDE w:val="0"/>
              <w:autoSpaceDN w:val="0"/>
              <w:adjustRightInd w:val="0"/>
              <w:spacing w:line="276" w:lineRule="auto"/>
              <w:jc w:val="center"/>
              <w:rPr>
                <w:rFonts w:cs="Arial"/>
                <w:b/>
                <w:sz w:val="22"/>
              </w:rPr>
            </w:pPr>
            <w:r w:rsidRPr="00314E5B">
              <w:rPr>
                <w:rFonts w:cs="Arial"/>
                <w:b/>
                <w:sz w:val="22"/>
              </w:rPr>
              <w:t>£m</w:t>
            </w:r>
          </w:p>
        </w:tc>
      </w:tr>
      <w:tr w:rsidR="00314E5B" w:rsidRPr="00314E5B" w14:paraId="4E7DBA3A" w14:textId="77777777" w:rsidTr="00314E5B">
        <w:trPr>
          <w:trHeight w:val="377"/>
          <w:jc w:val="center"/>
        </w:trPr>
        <w:tc>
          <w:tcPr>
            <w:tcW w:w="5681" w:type="dxa"/>
            <w:shd w:val="clear" w:color="auto" w:fill="BFBFBF" w:themeFill="background1" w:themeFillShade="BF"/>
            <w:vAlign w:val="center"/>
          </w:tcPr>
          <w:p w14:paraId="0F3E9CF1" w14:textId="77777777" w:rsidR="00314E5B" w:rsidRPr="00314E5B" w:rsidRDefault="00314E5B" w:rsidP="00314E5B">
            <w:pPr>
              <w:autoSpaceDE w:val="0"/>
              <w:autoSpaceDN w:val="0"/>
              <w:adjustRightInd w:val="0"/>
              <w:spacing w:line="276" w:lineRule="auto"/>
              <w:jc w:val="both"/>
              <w:rPr>
                <w:rFonts w:cs="Arial"/>
                <w:b/>
                <w:sz w:val="22"/>
              </w:rPr>
            </w:pPr>
            <w:r w:rsidRPr="00314E5B">
              <w:rPr>
                <w:rFonts w:cs="Arial"/>
                <w:b/>
                <w:sz w:val="22"/>
              </w:rPr>
              <w:t>Budget Requirement</w:t>
            </w:r>
          </w:p>
        </w:tc>
        <w:tc>
          <w:tcPr>
            <w:tcW w:w="2505" w:type="dxa"/>
            <w:shd w:val="clear" w:color="auto" w:fill="BFBFBF" w:themeFill="background1" w:themeFillShade="BF"/>
            <w:vAlign w:val="center"/>
          </w:tcPr>
          <w:p w14:paraId="70177202" w14:textId="77777777" w:rsidR="00314E5B" w:rsidRPr="00314E5B" w:rsidRDefault="00314E5B" w:rsidP="00314E5B">
            <w:pPr>
              <w:autoSpaceDE w:val="0"/>
              <w:autoSpaceDN w:val="0"/>
              <w:adjustRightInd w:val="0"/>
              <w:spacing w:line="276" w:lineRule="auto"/>
              <w:jc w:val="center"/>
              <w:rPr>
                <w:rFonts w:cs="Arial"/>
                <w:b/>
                <w:sz w:val="22"/>
              </w:rPr>
            </w:pPr>
            <w:r w:rsidRPr="00314E5B">
              <w:rPr>
                <w:rFonts w:cs="Arial"/>
                <w:b/>
                <w:sz w:val="22"/>
              </w:rPr>
              <w:t>711.912</w:t>
            </w:r>
          </w:p>
        </w:tc>
      </w:tr>
      <w:tr w:rsidR="00314E5B" w:rsidRPr="00314E5B" w14:paraId="0319F111" w14:textId="77777777" w:rsidTr="00314E5B">
        <w:trPr>
          <w:trHeight w:val="400"/>
          <w:jc w:val="center"/>
        </w:trPr>
        <w:tc>
          <w:tcPr>
            <w:tcW w:w="5681" w:type="dxa"/>
            <w:vAlign w:val="center"/>
          </w:tcPr>
          <w:p w14:paraId="485E1484" w14:textId="77777777" w:rsidR="00314E5B" w:rsidRPr="00314E5B" w:rsidRDefault="00314E5B" w:rsidP="00314E5B">
            <w:pPr>
              <w:autoSpaceDE w:val="0"/>
              <w:autoSpaceDN w:val="0"/>
              <w:adjustRightInd w:val="0"/>
              <w:spacing w:line="276" w:lineRule="auto"/>
              <w:jc w:val="both"/>
              <w:rPr>
                <w:rFonts w:cs="Arial"/>
                <w:sz w:val="22"/>
              </w:rPr>
            </w:pPr>
            <w:r w:rsidRPr="00314E5B">
              <w:rPr>
                <w:rFonts w:cs="Arial"/>
                <w:sz w:val="22"/>
              </w:rPr>
              <w:t>Less RSG</w:t>
            </w:r>
          </w:p>
        </w:tc>
        <w:tc>
          <w:tcPr>
            <w:tcW w:w="2505" w:type="dxa"/>
            <w:vAlign w:val="center"/>
          </w:tcPr>
          <w:p w14:paraId="5C45F6CD" w14:textId="77777777" w:rsidR="00314E5B" w:rsidRPr="00314E5B" w:rsidRDefault="00314E5B" w:rsidP="00314E5B">
            <w:pPr>
              <w:autoSpaceDE w:val="0"/>
              <w:autoSpaceDN w:val="0"/>
              <w:adjustRightInd w:val="0"/>
              <w:spacing w:line="276" w:lineRule="auto"/>
              <w:jc w:val="center"/>
              <w:rPr>
                <w:rFonts w:cs="Arial"/>
                <w:sz w:val="22"/>
              </w:rPr>
            </w:pPr>
            <w:r w:rsidRPr="00314E5B">
              <w:rPr>
                <w:rFonts w:cs="Arial"/>
                <w:sz w:val="22"/>
              </w:rPr>
              <w:t>118.841</w:t>
            </w:r>
          </w:p>
        </w:tc>
      </w:tr>
      <w:tr w:rsidR="00314E5B" w:rsidRPr="00314E5B" w14:paraId="1C58A632" w14:textId="77777777" w:rsidTr="00314E5B">
        <w:trPr>
          <w:trHeight w:val="400"/>
          <w:jc w:val="center"/>
        </w:trPr>
        <w:tc>
          <w:tcPr>
            <w:tcW w:w="5681" w:type="dxa"/>
            <w:vAlign w:val="center"/>
          </w:tcPr>
          <w:p w14:paraId="1541BD72" w14:textId="77777777" w:rsidR="00314E5B" w:rsidRPr="00314E5B" w:rsidRDefault="00314E5B" w:rsidP="00314E5B">
            <w:pPr>
              <w:autoSpaceDE w:val="0"/>
              <w:autoSpaceDN w:val="0"/>
              <w:adjustRightInd w:val="0"/>
              <w:spacing w:line="276" w:lineRule="auto"/>
              <w:jc w:val="both"/>
              <w:rPr>
                <w:rFonts w:cs="Arial"/>
                <w:sz w:val="22"/>
              </w:rPr>
            </w:pPr>
            <w:r w:rsidRPr="00314E5B">
              <w:rPr>
                <w:rFonts w:cs="Arial"/>
                <w:sz w:val="22"/>
              </w:rPr>
              <w:t>Less Retained Business Rates</w:t>
            </w:r>
          </w:p>
        </w:tc>
        <w:tc>
          <w:tcPr>
            <w:tcW w:w="2505" w:type="dxa"/>
            <w:vAlign w:val="center"/>
          </w:tcPr>
          <w:p w14:paraId="160D6E99" w14:textId="77777777" w:rsidR="00314E5B" w:rsidRPr="00314E5B" w:rsidRDefault="00314E5B" w:rsidP="00314E5B">
            <w:pPr>
              <w:autoSpaceDE w:val="0"/>
              <w:autoSpaceDN w:val="0"/>
              <w:adjustRightInd w:val="0"/>
              <w:spacing w:line="276" w:lineRule="auto"/>
              <w:jc w:val="center"/>
              <w:rPr>
                <w:rFonts w:cs="Arial"/>
                <w:sz w:val="22"/>
              </w:rPr>
            </w:pPr>
            <w:r w:rsidRPr="00314E5B">
              <w:rPr>
                <w:rFonts w:cs="Arial"/>
                <w:sz w:val="22"/>
              </w:rPr>
              <w:t>177.985</w:t>
            </w:r>
          </w:p>
        </w:tc>
      </w:tr>
      <w:tr w:rsidR="00314E5B" w:rsidRPr="00314E5B" w14:paraId="69802FDA" w14:textId="77777777" w:rsidTr="00314E5B">
        <w:trPr>
          <w:trHeight w:val="400"/>
          <w:jc w:val="center"/>
        </w:trPr>
        <w:tc>
          <w:tcPr>
            <w:tcW w:w="5681" w:type="dxa"/>
            <w:vAlign w:val="center"/>
          </w:tcPr>
          <w:p w14:paraId="0FEC9200" w14:textId="77777777" w:rsidR="00314E5B" w:rsidRPr="00314E5B" w:rsidRDefault="00314E5B" w:rsidP="00314E5B">
            <w:pPr>
              <w:autoSpaceDE w:val="0"/>
              <w:autoSpaceDN w:val="0"/>
              <w:adjustRightInd w:val="0"/>
              <w:spacing w:line="276" w:lineRule="auto"/>
              <w:jc w:val="both"/>
              <w:rPr>
                <w:rFonts w:cs="Arial"/>
                <w:sz w:val="22"/>
              </w:rPr>
            </w:pPr>
            <w:r w:rsidRPr="00314E5B">
              <w:rPr>
                <w:rFonts w:cs="Arial"/>
                <w:sz w:val="22"/>
              </w:rPr>
              <w:t>Less New Homes Bonus grant</w:t>
            </w:r>
          </w:p>
        </w:tc>
        <w:tc>
          <w:tcPr>
            <w:tcW w:w="2505" w:type="dxa"/>
            <w:vAlign w:val="center"/>
          </w:tcPr>
          <w:p w14:paraId="01A9C892" w14:textId="77777777" w:rsidR="00314E5B" w:rsidRPr="00314E5B" w:rsidRDefault="00314E5B" w:rsidP="00314E5B">
            <w:pPr>
              <w:autoSpaceDE w:val="0"/>
              <w:autoSpaceDN w:val="0"/>
              <w:adjustRightInd w:val="0"/>
              <w:spacing w:line="276" w:lineRule="auto"/>
              <w:jc w:val="center"/>
              <w:rPr>
                <w:rFonts w:cs="Arial"/>
                <w:sz w:val="22"/>
              </w:rPr>
            </w:pPr>
            <w:r w:rsidRPr="00314E5B">
              <w:rPr>
                <w:rFonts w:cs="Arial"/>
                <w:sz w:val="22"/>
              </w:rPr>
              <w:t>5.084</w:t>
            </w:r>
          </w:p>
        </w:tc>
      </w:tr>
      <w:tr w:rsidR="00314E5B" w:rsidRPr="00314E5B" w14:paraId="7A186432" w14:textId="77777777" w:rsidTr="00314E5B">
        <w:trPr>
          <w:trHeight w:val="400"/>
          <w:jc w:val="center"/>
        </w:trPr>
        <w:tc>
          <w:tcPr>
            <w:tcW w:w="5681" w:type="dxa"/>
            <w:vAlign w:val="center"/>
          </w:tcPr>
          <w:p w14:paraId="75B89B7B" w14:textId="77777777" w:rsidR="00314E5B" w:rsidRPr="00314E5B" w:rsidRDefault="00314E5B" w:rsidP="00314E5B">
            <w:pPr>
              <w:autoSpaceDE w:val="0"/>
              <w:autoSpaceDN w:val="0"/>
              <w:adjustRightInd w:val="0"/>
              <w:spacing w:line="276" w:lineRule="auto"/>
              <w:jc w:val="both"/>
              <w:rPr>
                <w:rFonts w:cs="Arial"/>
                <w:b/>
                <w:sz w:val="22"/>
              </w:rPr>
            </w:pPr>
            <w:r w:rsidRPr="00314E5B">
              <w:rPr>
                <w:rFonts w:cs="Arial"/>
                <w:b/>
                <w:sz w:val="22"/>
              </w:rPr>
              <w:t>Equals council tax cash</w:t>
            </w:r>
          </w:p>
        </w:tc>
        <w:tc>
          <w:tcPr>
            <w:tcW w:w="2505" w:type="dxa"/>
            <w:vAlign w:val="center"/>
          </w:tcPr>
          <w:p w14:paraId="4631A875" w14:textId="77777777" w:rsidR="00314E5B" w:rsidRPr="00314E5B" w:rsidRDefault="00314E5B" w:rsidP="00314E5B">
            <w:pPr>
              <w:autoSpaceDE w:val="0"/>
              <w:autoSpaceDN w:val="0"/>
              <w:adjustRightInd w:val="0"/>
              <w:spacing w:line="276" w:lineRule="auto"/>
              <w:jc w:val="center"/>
              <w:rPr>
                <w:rFonts w:cs="Arial"/>
                <w:b/>
                <w:sz w:val="22"/>
              </w:rPr>
            </w:pPr>
            <w:r w:rsidRPr="00314E5B">
              <w:rPr>
                <w:rFonts w:cs="Arial"/>
                <w:b/>
                <w:sz w:val="22"/>
              </w:rPr>
              <w:t>410.002</w:t>
            </w:r>
          </w:p>
        </w:tc>
      </w:tr>
      <w:tr w:rsidR="00314E5B" w:rsidRPr="00314E5B" w14:paraId="03D25EB2" w14:textId="77777777" w:rsidTr="00314E5B">
        <w:trPr>
          <w:trHeight w:val="400"/>
          <w:jc w:val="center"/>
        </w:trPr>
        <w:tc>
          <w:tcPr>
            <w:tcW w:w="5681" w:type="dxa"/>
            <w:shd w:val="clear" w:color="auto" w:fill="BFBFBF" w:themeFill="background1" w:themeFillShade="BF"/>
            <w:vAlign w:val="center"/>
          </w:tcPr>
          <w:p w14:paraId="14C8CE40" w14:textId="77777777" w:rsidR="00314E5B" w:rsidRPr="00314E5B" w:rsidRDefault="00314E5B" w:rsidP="00314E5B">
            <w:pPr>
              <w:autoSpaceDE w:val="0"/>
              <w:autoSpaceDN w:val="0"/>
              <w:adjustRightInd w:val="0"/>
              <w:jc w:val="both"/>
              <w:rPr>
                <w:rFonts w:cs="Arial"/>
                <w:sz w:val="22"/>
              </w:rPr>
            </w:pPr>
          </w:p>
        </w:tc>
        <w:tc>
          <w:tcPr>
            <w:tcW w:w="2505" w:type="dxa"/>
            <w:shd w:val="clear" w:color="auto" w:fill="BFBFBF" w:themeFill="background1" w:themeFillShade="BF"/>
            <w:vAlign w:val="center"/>
          </w:tcPr>
          <w:p w14:paraId="769D18EE" w14:textId="77777777" w:rsidR="00314E5B" w:rsidRPr="00314E5B" w:rsidRDefault="00314E5B" w:rsidP="00314E5B">
            <w:pPr>
              <w:autoSpaceDE w:val="0"/>
              <w:autoSpaceDN w:val="0"/>
              <w:adjustRightInd w:val="0"/>
              <w:jc w:val="center"/>
              <w:rPr>
                <w:rFonts w:cs="Arial"/>
                <w:sz w:val="22"/>
              </w:rPr>
            </w:pPr>
          </w:p>
        </w:tc>
      </w:tr>
      <w:tr w:rsidR="00314E5B" w:rsidRPr="00314E5B" w14:paraId="3E3C31F5" w14:textId="77777777" w:rsidTr="00314E5B">
        <w:trPr>
          <w:trHeight w:val="400"/>
          <w:jc w:val="center"/>
        </w:trPr>
        <w:tc>
          <w:tcPr>
            <w:tcW w:w="5681" w:type="dxa"/>
            <w:vAlign w:val="center"/>
          </w:tcPr>
          <w:p w14:paraId="38878C6F" w14:textId="77777777" w:rsidR="00314E5B" w:rsidRPr="00314E5B" w:rsidRDefault="00314E5B" w:rsidP="00314E5B">
            <w:pPr>
              <w:autoSpaceDE w:val="0"/>
              <w:autoSpaceDN w:val="0"/>
              <w:adjustRightInd w:val="0"/>
              <w:spacing w:line="276" w:lineRule="auto"/>
              <w:jc w:val="both"/>
              <w:rPr>
                <w:rFonts w:cs="Arial"/>
                <w:sz w:val="22"/>
              </w:rPr>
            </w:pPr>
            <w:r w:rsidRPr="00314E5B">
              <w:rPr>
                <w:rFonts w:cs="Arial"/>
                <w:sz w:val="22"/>
              </w:rPr>
              <w:t>Divided by tax base</w:t>
            </w:r>
          </w:p>
        </w:tc>
        <w:tc>
          <w:tcPr>
            <w:tcW w:w="2505" w:type="dxa"/>
            <w:vAlign w:val="center"/>
          </w:tcPr>
          <w:p w14:paraId="432359E3" w14:textId="77777777" w:rsidR="00314E5B" w:rsidRPr="00314E5B" w:rsidRDefault="00314E5B" w:rsidP="00314E5B">
            <w:pPr>
              <w:autoSpaceDE w:val="0"/>
              <w:autoSpaceDN w:val="0"/>
              <w:adjustRightInd w:val="0"/>
              <w:spacing w:line="276" w:lineRule="auto"/>
              <w:jc w:val="center"/>
              <w:rPr>
                <w:rFonts w:cs="Arial"/>
                <w:sz w:val="22"/>
              </w:rPr>
            </w:pPr>
            <w:r w:rsidRPr="00314E5B">
              <w:rPr>
                <w:rFonts w:cs="Arial"/>
                <w:sz w:val="22"/>
              </w:rPr>
              <w:t>348,980.09</w:t>
            </w:r>
          </w:p>
        </w:tc>
      </w:tr>
      <w:tr w:rsidR="00314E5B" w:rsidRPr="00314E5B" w14:paraId="4B5B8879" w14:textId="77777777" w:rsidTr="00314E5B">
        <w:trPr>
          <w:trHeight w:val="400"/>
          <w:jc w:val="center"/>
        </w:trPr>
        <w:tc>
          <w:tcPr>
            <w:tcW w:w="5681" w:type="dxa"/>
            <w:vAlign w:val="center"/>
          </w:tcPr>
          <w:p w14:paraId="26554B56" w14:textId="77777777" w:rsidR="00314E5B" w:rsidRPr="00314E5B" w:rsidRDefault="00314E5B" w:rsidP="00314E5B">
            <w:pPr>
              <w:autoSpaceDE w:val="0"/>
              <w:autoSpaceDN w:val="0"/>
              <w:adjustRightInd w:val="0"/>
              <w:spacing w:line="276" w:lineRule="auto"/>
              <w:jc w:val="both"/>
              <w:rPr>
                <w:rFonts w:cs="Arial"/>
                <w:sz w:val="22"/>
              </w:rPr>
            </w:pPr>
            <w:r w:rsidRPr="00314E5B">
              <w:rPr>
                <w:rFonts w:cs="Arial"/>
                <w:sz w:val="22"/>
              </w:rPr>
              <w:t>Gives Band D council tax for 2016/17</w:t>
            </w:r>
          </w:p>
        </w:tc>
        <w:tc>
          <w:tcPr>
            <w:tcW w:w="2505" w:type="dxa"/>
            <w:vAlign w:val="center"/>
          </w:tcPr>
          <w:p w14:paraId="3137F916" w14:textId="77777777" w:rsidR="00314E5B" w:rsidRPr="00314E5B" w:rsidRDefault="00314E5B" w:rsidP="00314E5B">
            <w:pPr>
              <w:autoSpaceDE w:val="0"/>
              <w:autoSpaceDN w:val="0"/>
              <w:adjustRightInd w:val="0"/>
              <w:spacing w:line="276" w:lineRule="auto"/>
              <w:jc w:val="center"/>
              <w:rPr>
                <w:rFonts w:cs="Arial"/>
                <w:sz w:val="22"/>
              </w:rPr>
            </w:pPr>
            <w:r w:rsidRPr="00314E5B">
              <w:rPr>
                <w:rFonts w:cs="Arial"/>
                <w:sz w:val="22"/>
              </w:rPr>
              <w:t>£1,174.86</w:t>
            </w:r>
          </w:p>
        </w:tc>
      </w:tr>
      <w:tr w:rsidR="00314E5B" w:rsidRPr="00314E5B" w14:paraId="5173E815" w14:textId="77777777" w:rsidTr="00314E5B">
        <w:trPr>
          <w:trHeight w:val="400"/>
          <w:jc w:val="center"/>
        </w:trPr>
        <w:tc>
          <w:tcPr>
            <w:tcW w:w="5681" w:type="dxa"/>
            <w:vAlign w:val="center"/>
          </w:tcPr>
          <w:p w14:paraId="118F6EBD" w14:textId="77777777" w:rsidR="00314E5B" w:rsidRPr="00314E5B" w:rsidRDefault="00314E5B" w:rsidP="00314E5B">
            <w:pPr>
              <w:autoSpaceDE w:val="0"/>
              <w:autoSpaceDN w:val="0"/>
              <w:adjustRightInd w:val="0"/>
              <w:spacing w:line="276" w:lineRule="auto"/>
              <w:jc w:val="both"/>
              <w:rPr>
                <w:rFonts w:cs="Arial"/>
                <w:sz w:val="22"/>
              </w:rPr>
            </w:pPr>
            <w:r w:rsidRPr="00314E5B">
              <w:rPr>
                <w:rFonts w:cs="Arial"/>
                <w:sz w:val="22"/>
              </w:rPr>
              <w:t>2015/16 council tax</w:t>
            </w:r>
          </w:p>
        </w:tc>
        <w:tc>
          <w:tcPr>
            <w:tcW w:w="2505" w:type="dxa"/>
            <w:vAlign w:val="center"/>
          </w:tcPr>
          <w:p w14:paraId="469807E6" w14:textId="77777777" w:rsidR="00314E5B" w:rsidRPr="00314E5B" w:rsidRDefault="00314E5B" w:rsidP="00314E5B">
            <w:pPr>
              <w:autoSpaceDE w:val="0"/>
              <w:autoSpaceDN w:val="0"/>
              <w:adjustRightInd w:val="0"/>
              <w:spacing w:line="276" w:lineRule="auto"/>
              <w:jc w:val="center"/>
              <w:rPr>
                <w:rFonts w:cs="Arial"/>
                <w:sz w:val="22"/>
              </w:rPr>
            </w:pPr>
            <w:r w:rsidRPr="00314E5B">
              <w:rPr>
                <w:rFonts w:cs="Arial"/>
                <w:sz w:val="22"/>
              </w:rPr>
              <w:t>£1,129.78</w:t>
            </w:r>
          </w:p>
        </w:tc>
      </w:tr>
      <w:tr w:rsidR="00314E5B" w:rsidRPr="00314E5B" w14:paraId="575F5134" w14:textId="77777777" w:rsidTr="00314E5B">
        <w:trPr>
          <w:trHeight w:val="400"/>
          <w:jc w:val="center"/>
        </w:trPr>
        <w:tc>
          <w:tcPr>
            <w:tcW w:w="5681" w:type="dxa"/>
            <w:vAlign w:val="center"/>
          </w:tcPr>
          <w:p w14:paraId="669B4C30" w14:textId="77777777" w:rsidR="00314E5B" w:rsidRPr="00314E5B" w:rsidRDefault="00314E5B" w:rsidP="00314E5B">
            <w:pPr>
              <w:autoSpaceDE w:val="0"/>
              <w:autoSpaceDN w:val="0"/>
              <w:adjustRightInd w:val="0"/>
              <w:spacing w:line="276" w:lineRule="auto"/>
              <w:jc w:val="both"/>
              <w:rPr>
                <w:rFonts w:cs="Arial"/>
                <w:b/>
                <w:sz w:val="22"/>
              </w:rPr>
            </w:pPr>
            <w:r w:rsidRPr="00314E5B">
              <w:rPr>
                <w:rFonts w:cs="Arial"/>
                <w:b/>
                <w:sz w:val="22"/>
              </w:rPr>
              <w:t>Percentage increase</w:t>
            </w:r>
          </w:p>
        </w:tc>
        <w:tc>
          <w:tcPr>
            <w:tcW w:w="2505" w:type="dxa"/>
            <w:vAlign w:val="center"/>
          </w:tcPr>
          <w:p w14:paraId="6EC6B01E" w14:textId="77777777" w:rsidR="00314E5B" w:rsidRPr="00314E5B" w:rsidRDefault="00314E5B" w:rsidP="00314E5B">
            <w:pPr>
              <w:autoSpaceDE w:val="0"/>
              <w:autoSpaceDN w:val="0"/>
              <w:adjustRightInd w:val="0"/>
              <w:spacing w:line="276" w:lineRule="auto"/>
              <w:jc w:val="center"/>
              <w:rPr>
                <w:rFonts w:cs="Arial"/>
                <w:b/>
                <w:sz w:val="22"/>
              </w:rPr>
            </w:pPr>
            <w:r w:rsidRPr="00314E5B">
              <w:rPr>
                <w:rFonts w:cs="Arial"/>
                <w:b/>
                <w:sz w:val="22"/>
              </w:rPr>
              <w:t>3.99%</w:t>
            </w:r>
          </w:p>
        </w:tc>
      </w:tr>
    </w:tbl>
    <w:p w14:paraId="6A8493B6" w14:textId="6091DC74" w:rsidR="00620840" w:rsidRDefault="00620840" w:rsidP="00620840">
      <w:pPr>
        <w:spacing w:line="276" w:lineRule="auto"/>
        <w:ind w:left="720"/>
        <w:jc w:val="both"/>
        <w:rPr>
          <w:rFonts w:cs="Arial"/>
          <w:szCs w:val="24"/>
        </w:rPr>
      </w:pPr>
    </w:p>
    <w:p w14:paraId="56C32941" w14:textId="5307017F" w:rsidR="00314E5B" w:rsidRDefault="00314E5B">
      <w:pPr>
        <w:rPr>
          <w:rFonts w:cs="Arial"/>
          <w:szCs w:val="24"/>
        </w:rPr>
      </w:pPr>
      <w:r>
        <w:rPr>
          <w:rFonts w:cs="Arial"/>
          <w:szCs w:val="24"/>
        </w:rPr>
        <w:br w:type="page"/>
      </w:r>
    </w:p>
    <w:p w14:paraId="679328EA" w14:textId="35021669" w:rsidR="00CB5AF9" w:rsidRDefault="00CB5AF9" w:rsidP="00620840">
      <w:pPr>
        <w:pStyle w:val="BodyTextIndent"/>
        <w:numPr>
          <w:ilvl w:val="0"/>
          <w:numId w:val="3"/>
        </w:numPr>
        <w:spacing w:line="276" w:lineRule="auto"/>
        <w:jc w:val="both"/>
        <w:rPr>
          <w:rFonts w:cs="Arial"/>
          <w:b w:val="0"/>
          <w:szCs w:val="24"/>
        </w:rPr>
      </w:pPr>
      <w:r w:rsidRPr="00620840">
        <w:rPr>
          <w:rFonts w:cs="Arial"/>
          <w:b w:val="0"/>
          <w:szCs w:val="24"/>
        </w:rPr>
        <w:lastRenderedPageBreak/>
        <w:t xml:space="preserve">Council </w:t>
      </w:r>
      <w:r w:rsidR="00622FF6" w:rsidRPr="00620840">
        <w:rPr>
          <w:rFonts w:cs="Arial"/>
          <w:b w:val="0"/>
          <w:szCs w:val="24"/>
        </w:rPr>
        <w:t>Tax</w:t>
      </w:r>
      <w:r w:rsidRPr="00620840">
        <w:rPr>
          <w:rFonts w:cs="Arial"/>
          <w:b w:val="0"/>
          <w:szCs w:val="24"/>
        </w:rPr>
        <w:t xml:space="preserve"> (on the basis of a budget requirement of £</w:t>
      </w:r>
      <w:r w:rsidR="009A51EB">
        <w:rPr>
          <w:rFonts w:cs="Arial"/>
          <w:b w:val="0"/>
          <w:szCs w:val="24"/>
        </w:rPr>
        <w:t>711.912</w:t>
      </w:r>
      <w:r w:rsidRPr="00620840">
        <w:rPr>
          <w:rFonts w:cs="Arial"/>
          <w:b w:val="0"/>
          <w:szCs w:val="24"/>
        </w:rPr>
        <w:t xml:space="preserve">m and the </w:t>
      </w:r>
      <w:r w:rsidR="00622FF6" w:rsidRPr="00620840">
        <w:rPr>
          <w:rFonts w:cs="Arial"/>
          <w:b w:val="0"/>
          <w:szCs w:val="24"/>
        </w:rPr>
        <w:t>Co</w:t>
      </w:r>
      <w:r w:rsidRPr="00620840">
        <w:rPr>
          <w:rFonts w:cs="Arial"/>
          <w:b w:val="0"/>
          <w:szCs w:val="24"/>
        </w:rPr>
        <w:t>un</w:t>
      </w:r>
      <w:r w:rsidR="00E625C1" w:rsidRPr="00620840">
        <w:rPr>
          <w:rFonts w:cs="Arial"/>
          <w:b w:val="0"/>
          <w:szCs w:val="24"/>
        </w:rPr>
        <w:t>cil</w:t>
      </w:r>
      <w:r w:rsidRPr="00620840">
        <w:rPr>
          <w:rFonts w:cs="Arial"/>
          <w:b w:val="0"/>
          <w:szCs w:val="24"/>
        </w:rPr>
        <w:t xml:space="preserve"> </w:t>
      </w:r>
      <w:r w:rsidR="00622FF6" w:rsidRPr="00620840">
        <w:rPr>
          <w:rFonts w:cs="Arial"/>
          <w:b w:val="0"/>
          <w:szCs w:val="24"/>
        </w:rPr>
        <w:t>T</w:t>
      </w:r>
      <w:r w:rsidRPr="00620840">
        <w:rPr>
          <w:rFonts w:cs="Arial"/>
          <w:b w:val="0"/>
          <w:szCs w:val="24"/>
        </w:rPr>
        <w:t xml:space="preserve">ax </w:t>
      </w:r>
      <w:r w:rsidR="00E625C1" w:rsidRPr="00620840">
        <w:rPr>
          <w:rFonts w:cs="Arial"/>
          <w:b w:val="0"/>
          <w:szCs w:val="24"/>
        </w:rPr>
        <w:t>b</w:t>
      </w:r>
      <w:r w:rsidR="009A51EB">
        <w:rPr>
          <w:rFonts w:cs="Arial"/>
          <w:b w:val="0"/>
          <w:szCs w:val="24"/>
        </w:rPr>
        <w:t xml:space="preserve">ase </w:t>
      </w:r>
      <w:r w:rsidRPr="00620840">
        <w:rPr>
          <w:rFonts w:cs="Arial"/>
          <w:b w:val="0"/>
          <w:szCs w:val="24"/>
        </w:rPr>
        <w:t>for each property valuation band:</w:t>
      </w:r>
    </w:p>
    <w:p w14:paraId="181277A9" w14:textId="77777777" w:rsidR="00620840" w:rsidRPr="00620840" w:rsidRDefault="00620840" w:rsidP="00620840">
      <w:pPr>
        <w:pStyle w:val="BodyTextIndent"/>
        <w:spacing w:line="276" w:lineRule="auto"/>
        <w:jc w:val="both"/>
        <w:rPr>
          <w:rFonts w:cs="Arial"/>
          <w:b w:val="0"/>
          <w:szCs w:val="24"/>
        </w:rPr>
      </w:pPr>
    </w:p>
    <w:tbl>
      <w:tblPr>
        <w:tblW w:w="0" w:type="auto"/>
        <w:tblInd w:w="1728" w:type="dxa"/>
        <w:tblLayout w:type="fixed"/>
        <w:tblLook w:val="0000" w:firstRow="0" w:lastRow="0" w:firstColumn="0" w:lastColumn="0" w:noHBand="0" w:noVBand="0"/>
      </w:tblPr>
      <w:tblGrid>
        <w:gridCol w:w="4805"/>
        <w:gridCol w:w="2184"/>
      </w:tblGrid>
      <w:tr w:rsidR="00CB5AF9" w:rsidRPr="00620840" w14:paraId="260BDF3C" w14:textId="77777777" w:rsidTr="00A030CD">
        <w:trPr>
          <w:trHeight w:val="600"/>
        </w:trPr>
        <w:tc>
          <w:tcPr>
            <w:tcW w:w="4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7A30A" w14:textId="537358E1" w:rsidR="00CB5AF9" w:rsidRPr="00314E5B" w:rsidRDefault="00620840" w:rsidP="00A030CD">
            <w:pPr>
              <w:jc w:val="both"/>
              <w:rPr>
                <w:rFonts w:cs="Arial"/>
                <w:b/>
                <w:sz w:val="22"/>
                <w:szCs w:val="22"/>
              </w:rPr>
            </w:pPr>
            <w:r w:rsidRPr="00314E5B">
              <w:rPr>
                <w:rFonts w:cs="Arial"/>
                <w:b/>
                <w:sz w:val="22"/>
                <w:szCs w:val="22"/>
              </w:rPr>
              <w:t>Council Tax Band</w:t>
            </w:r>
          </w:p>
        </w:tc>
        <w:tc>
          <w:tcPr>
            <w:tcW w:w="2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06A599" w14:textId="2A6DDB35" w:rsidR="00CB5AF9" w:rsidRPr="00314E5B" w:rsidRDefault="00CB5AF9" w:rsidP="00A030CD">
            <w:pPr>
              <w:jc w:val="center"/>
              <w:rPr>
                <w:rFonts w:cs="Arial"/>
                <w:b/>
                <w:sz w:val="22"/>
                <w:szCs w:val="22"/>
              </w:rPr>
            </w:pPr>
            <w:r w:rsidRPr="00314E5B">
              <w:rPr>
                <w:rFonts w:cs="Arial"/>
                <w:b/>
                <w:sz w:val="22"/>
                <w:szCs w:val="22"/>
              </w:rPr>
              <w:t>£</w:t>
            </w:r>
          </w:p>
        </w:tc>
      </w:tr>
      <w:tr w:rsidR="0078397B" w:rsidRPr="00620840" w14:paraId="6830E8A2"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307FD5FE" w14:textId="77777777" w:rsidR="0078397B" w:rsidRPr="00314E5B" w:rsidRDefault="0078397B" w:rsidP="00A030CD">
            <w:pPr>
              <w:spacing w:line="276" w:lineRule="auto"/>
              <w:jc w:val="both"/>
              <w:rPr>
                <w:rFonts w:cs="Arial"/>
                <w:sz w:val="22"/>
                <w:szCs w:val="22"/>
              </w:rPr>
            </w:pPr>
            <w:bookmarkStart w:id="1" w:name="OLE_LINK1"/>
            <w:r w:rsidRPr="00314E5B">
              <w:rPr>
                <w:rFonts w:cs="Arial"/>
                <w:sz w:val="22"/>
                <w:szCs w:val="22"/>
              </w:rPr>
              <w:t>Band A</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334138E8" w14:textId="36D3966C" w:rsidR="0078397B" w:rsidRPr="00314E5B" w:rsidRDefault="009B664A" w:rsidP="009A51EB">
            <w:pPr>
              <w:spacing w:line="276" w:lineRule="auto"/>
              <w:jc w:val="right"/>
              <w:rPr>
                <w:rFonts w:cs="Arial"/>
                <w:snapToGrid w:val="0"/>
                <w:color w:val="000000"/>
                <w:sz w:val="22"/>
                <w:szCs w:val="22"/>
              </w:rPr>
            </w:pPr>
            <w:r w:rsidRPr="00314E5B">
              <w:rPr>
                <w:rFonts w:cs="Arial"/>
                <w:snapToGrid w:val="0"/>
                <w:color w:val="000000"/>
                <w:sz w:val="22"/>
                <w:szCs w:val="22"/>
              </w:rPr>
              <w:t>783.24</w:t>
            </w:r>
          </w:p>
        </w:tc>
      </w:tr>
      <w:tr w:rsidR="0078397B" w:rsidRPr="00620840" w14:paraId="1D4EDDB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37596C37" w14:textId="77777777" w:rsidR="0078397B" w:rsidRPr="00314E5B" w:rsidRDefault="0078397B" w:rsidP="00A030CD">
            <w:pPr>
              <w:spacing w:line="276" w:lineRule="auto"/>
              <w:jc w:val="both"/>
              <w:rPr>
                <w:rFonts w:cs="Arial"/>
                <w:sz w:val="22"/>
                <w:szCs w:val="22"/>
              </w:rPr>
            </w:pPr>
            <w:r w:rsidRPr="00314E5B">
              <w:rPr>
                <w:rFonts w:cs="Arial"/>
                <w:sz w:val="22"/>
                <w:szCs w:val="22"/>
              </w:rPr>
              <w:t>Band B</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7C9939E4" w14:textId="6E3E80ED" w:rsidR="0078397B" w:rsidRPr="00314E5B" w:rsidRDefault="009B664A" w:rsidP="009A51EB">
            <w:pPr>
              <w:spacing w:line="276" w:lineRule="auto"/>
              <w:jc w:val="right"/>
              <w:rPr>
                <w:rFonts w:cs="Arial"/>
                <w:snapToGrid w:val="0"/>
                <w:color w:val="000000"/>
                <w:sz w:val="22"/>
                <w:szCs w:val="22"/>
              </w:rPr>
            </w:pPr>
            <w:r w:rsidRPr="00314E5B">
              <w:rPr>
                <w:rFonts w:cs="Arial"/>
                <w:snapToGrid w:val="0"/>
                <w:color w:val="000000"/>
                <w:sz w:val="22"/>
                <w:szCs w:val="22"/>
              </w:rPr>
              <w:t>913.78</w:t>
            </w:r>
          </w:p>
        </w:tc>
      </w:tr>
      <w:tr w:rsidR="0078397B" w:rsidRPr="00620840" w14:paraId="2818259F"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759C4896" w14:textId="77777777" w:rsidR="0078397B" w:rsidRPr="00314E5B" w:rsidRDefault="0078397B" w:rsidP="00A030CD">
            <w:pPr>
              <w:spacing w:line="276" w:lineRule="auto"/>
              <w:jc w:val="both"/>
              <w:rPr>
                <w:rFonts w:cs="Arial"/>
                <w:sz w:val="22"/>
                <w:szCs w:val="22"/>
              </w:rPr>
            </w:pPr>
            <w:r w:rsidRPr="00314E5B">
              <w:rPr>
                <w:rFonts w:cs="Arial"/>
                <w:sz w:val="22"/>
                <w:szCs w:val="22"/>
              </w:rPr>
              <w:t>Band C</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0799888C" w14:textId="6EE5002D" w:rsidR="0078397B" w:rsidRPr="00314E5B" w:rsidRDefault="009B664A" w:rsidP="009A51EB">
            <w:pPr>
              <w:spacing w:line="276" w:lineRule="auto"/>
              <w:jc w:val="right"/>
              <w:rPr>
                <w:rFonts w:cs="Arial"/>
                <w:snapToGrid w:val="0"/>
                <w:color w:val="000000"/>
                <w:sz w:val="22"/>
                <w:szCs w:val="22"/>
              </w:rPr>
            </w:pPr>
            <w:r w:rsidRPr="00314E5B">
              <w:rPr>
                <w:rFonts w:cs="Arial"/>
                <w:snapToGrid w:val="0"/>
                <w:color w:val="000000"/>
                <w:sz w:val="22"/>
                <w:szCs w:val="22"/>
              </w:rPr>
              <w:t>1,044.32</w:t>
            </w:r>
          </w:p>
        </w:tc>
      </w:tr>
      <w:tr w:rsidR="0078397B" w:rsidRPr="00620840" w14:paraId="01CAC4A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41681888" w14:textId="77777777" w:rsidR="0078397B" w:rsidRPr="00314E5B" w:rsidRDefault="0078397B" w:rsidP="00A030CD">
            <w:pPr>
              <w:spacing w:line="276" w:lineRule="auto"/>
              <w:jc w:val="both"/>
              <w:rPr>
                <w:rFonts w:cs="Arial"/>
                <w:b/>
                <w:sz w:val="22"/>
                <w:szCs w:val="22"/>
              </w:rPr>
            </w:pPr>
            <w:r w:rsidRPr="00314E5B">
              <w:rPr>
                <w:rFonts w:cs="Arial"/>
                <w:b/>
                <w:sz w:val="22"/>
                <w:szCs w:val="22"/>
              </w:rPr>
              <w:t>Band D (basic)</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5181F618" w14:textId="6244B6C1" w:rsidR="0078397B" w:rsidRPr="00314E5B" w:rsidRDefault="007870AE" w:rsidP="009A51EB">
            <w:pPr>
              <w:spacing w:line="276" w:lineRule="auto"/>
              <w:jc w:val="right"/>
              <w:rPr>
                <w:rFonts w:cs="Arial"/>
                <w:b/>
                <w:snapToGrid w:val="0"/>
                <w:color w:val="000000"/>
                <w:sz w:val="22"/>
                <w:szCs w:val="22"/>
              </w:rPr>
            </w:pPr>
            <w:r w:rsidRPr="00314E5B">
              <w:rPr>
                <w:rFonts w:cs="Arial"/>
                <w:b/>
                <w:snapToGrid w:val="0"/>
                <w:color w:val="000000"/>
                <w:sz w:val="22"/>
                <w:szCs w:val="22"/>
              </w:rPr>
              <w:t>1</w:t>
            </w:r>
            <w:r w:rsidR="009B664A" w:rsidRPr="00314E5B">
              <w:rPr>
                <w:rFonts w:cs="Arial"/>
                <w:b/>
                <w:snapToGrid w:val="0"/>
                <w:color w:val="000000"/>
                <w:sz w:val="22"/>
                <w:szCs w:val="22"/>
              </w:rPr>
              <w:t>,</w:t>
            </w:r>
            <w:r w:rsidRPr="00314E5B">
              <w:rPr>
                <w:rFonts w:cs="Arial"/>
                <w:b/>
                <w:snapToGrid w:val="0"/>
                <w:color w:val="000000"/>
                <w:sz w:val="22"/>
                <w:szCs w:val="22"/>
              </w:rPr>
              <w:t>174.86</w:t>
            </w:r>
          </w:p>
        </w:tc>
      </w:tr>
      <w:tr w:rsidR="0078397B" w:rsidRPr="00620840" w14:paraId="5F8A4D28"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AE6C42F" w14:textId="77777777" w:rsidR="0078397B" w:rsidRPr="00314E5B" w:rsidRDefault="0078397B" w:rsidP="00A030CD">
            <w:pPr>
              <w:spacing w:line="276" w:lineRule="auto"/>
              <w:jc w:val="both"/>
              <w:rPr>
                <w:rFonts w:cs="Arial"/>
                <w:sz w:val="22"/>
                <w:szCs w:val="22"/>
              </w:rPr>
            </w:pPr>
            <w:r w:rsidRPr="00314E5B">
              <w:rPr>
                <w:rFonts w:cs="Arial"/>
                <w:sz w:val="22"/>
                <w:szCs w:val="22"/>
              </w:rPr>
              <w:t>Band E</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62011B89" w14:textId="0124066C" w:rsidR="0078397B" w:rsidRPr="00314E5B" w:rsidRDefault="009B664A" w:rsidP="009A51EB">
            <w:pPr>
              <w:spacing w:line="276" w:lineRule="auto"/>
              <w:jc w:val="right"/>
              <w:rPr>
                <w:rFonts w:cs="Arial"/>
                <w:snapToGrid w:val="0"/>
                <w:color w:val="000000"/>
                <w:sz w:val="22"/>
                <w:szCs w:val="22"/>
              </w:rPr>
            </w:pPr>
            <w:r w:rsidRPr="00314E5B">
              <w:rPr>
                <w:rFonts w:cs="Arial"/>
                <w:snapToGrid w:val="0"/>
                <w:color w:val="000000"/>
                <w:sz w:val="22"/>
                <w:szCs w:val="22"/>
              </w:rPr>
              <w:t>1,435.94</w:t>
            </w:r>
          </w:p>
        </w:tc>
      </w:tr>
      <w:tr w:rsidR="0078397B" w:rsidRPr="00620840" w14:paraId="73016BE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7BED112" w14:textId="77777777" w:rsidR="0078397B" w:rsidRPr="00314E5B" w:rsidRDefault="0078397B" w:rsidP="00A030CD">
            <w:pPr>
              <w:spacing w:line="276" w:lineRule="auto"/>
              <w:jc w:val="both"/>
              <w:rPr>
                <w:rFonts w:cs="Arial"/>
                <w:sz w:val="22"/>
                <w:szCs w:val="22"/>
              </w:rPr>
            </w:pPr>
            <w:r w:rsidRPr="00314E5B">
              <w:rPr>
                <w:rFonts w:cs="Arial"/>
                <w:sz w:val="22"/>
                <w:szCs w:val="22"/>
              </w:rPr>
              <w:t>Band F</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4E677BB3" w14:textId="2533781B" w:rsidR="0078397B" w:rsidRPr="00314E5B" w:rsidRDefault="009B664A" w:rsidP="009A51EB">
            <w:pPr>
              <w:spacing w:line="276" w:lineRule="auto"/>
              <w:jc w:val="right"/>
              <w:rPr>
                <w:rFonts w:cs="Arial"/>
                <w:snapToGrid w:val="0"/>
                <w:color w:val="000000"/>
                <w:sz w:val="22"/>
                <w:szCs w:val="22"/>
              </w:rPr>
            </w:pPr>
            <w:r w:rsidRPr="00314E5B">
              <w:rPr>
                <w:rFonts w:cs="Arial"/>
                <w:snapToGrid w:val="0"/>
                <w:color w:val="000000"/>
                <w:sz w:val="22"/>
                <w:szCs w:val="22"/>
              </w:rPr>
              <w:t>1,697.02</w:t>
            </w:r>
          </w:p>
        </w:tc>
      </w:tr>
      <w:tr w:rsidR="0078397B" w:rsidRPr="00620840" w14:paraId="06BE8255"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189549A6" w14:textId="77777777" w:rsidR="0078397B" w:rsidRPr="00314E5B" w:rsidRDefault="0078397B" w:rsidP="00A030CD">
            <w:pPr>
              <w:spacing w:line="276" w:lineRule="auto"/>
              <w:jc w:val="both"/>
              <w:rPr>
                <w:rFonts w:cs="Arial"/>
                <w:sz w:val="22"/>
                <w:szCs w:val="22"/>
              </w:rPr>
            </w:pPr>
            <w:r w:rsidRPr="00314E5B">
              <w:rPr>
                <w:rFonts w:cs="Arial"/>
                <w:sz w:val="22"/>
                <w:szCs w:val="22"/>
              </w:rPr>
              <w:t>Band G</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323718C8" w14:textId="42935EDA" w:rsidR="0078397B" w:rsidRPr="00314E5B" w:rsidRDefault="009B664A" w:rsidP="009A51EB">
            <w:pPr>
              <w:spacing w:line="276" w:lineRule="auto"/>
              <w:jc w:val="right"/>
              <w:rPr>
                <w:rFonts w:cs="Arial"/>
                <w:snapToGrid w:val="0"/>
                <w:color w:val="000000"/>
                <w:sz w:val="22"/>
                <w:szCs w:val="22"/>
              </w:rPr>
            </w:pPr>
            <w:r w:rsidRPr="00314E5B">
              <w:rPr>
                <w:rFonts w:cs="Arial"/>
                <w:snapToGrid w:val="0"/>
                <w:color w:val="000000"/>
                <w:sz w:val="22"/>
                <w:szCs w:val="22"/>
              </w:rPr>
              <w:t>1,958.10</w:t>
            </w:r>
          </w:p>
        </w:tc>
      </w:tr>
      <w:tr w:rsidR="0078397B" w:rsidRPr="00E8773F" w14:paraId="074801FC"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59AA9E7" w14:textId="77777777" w:rsidR="0078397B" w:rsidRPr="00314E5B" w:rsidRDefault="0078397B" w:rsidP="00A030CD">
            <w:pPr>
              <w:spacing w:line="276" w:lineRule="auto"/>
              <w:jc w:val="both"/>
              <w:rPr>
                <w:sz w:val="22"/>
                <w:szCs w:val="22"/>
              </w:rPr>
            </w:pPr>
            <w:r w:rsidRPr="00314E5B">
              <w:rPr>
                <w:sz w:val="22"/>
                <w:szCs w:val="22"/>
              </w:rPr>
              <w:t>Band H</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2974F782" w14:textId="2AAAB022" w:rsidR="0078397B" w:rsidRPr="00314E5B" w:rsidRDefault="009B664A" w:rsidP="009A51EB">
            <w:pPr>
              <w:spacing w:line="276" w:lineRule="auto"/>
              <w:jc w:val="right"/>
              <w:rPr>
                <w:snapToGrid w:val="0"/>
                <w:color w:val="000000"/>
                <w:sz w:val="22"/>
                <w:szCs w:val="22"/>
              </w:rPr>
            </w:pPr>
            <w:r w:rsidRPr="00314E5B">
              <w:rPr>
                <w:snapToGrid w:val="0"/>
                <w:color w:val="000000"/>
                <w:sz w:val="22"/>
                <w:szCs w:val="22"/>
              </w:rPr>
              <w:t>2,349.72</w:t>
            </w:r>
          </w:p>
        </w:tc>
      </w:tr>
      <w:bookmarkEnd w:id="1"/>
    </w:tbl>
    <w:p w14:paraId="7735DF81" w14:textId="77777777" w:rsidR="00A030CD" w:rsidRDefault="00A030CD" w:rsidP="00A030CD">
      <w:pPr>
        <w:pStyle w:val="BodyText"/>
      </w:pPr>
    </w:p>
    <w:p w14:paraId="173EF3C8" w14:textId="6AB8C6A1" w:rsidR="00CB5AF9" w:rsidRDefault="00E625C1" w:rsidP="00832AC1">
      <w:pPr>
        <w:pStyle w:val="BodyText"/>
        <w:numPr>
          <w:ilvl w:val="0"/>
          <w:numId w:val="29"/>
        </w:numPr>
        <w:ind w:hanging="720"/>
      </w:pPr>
      <w:r w:rsidRPr="0032375E">
        <w:t xml:space="preserve">The share for each </w:t>
      </w:r>
      <w:r w:rsidR="00622FF6" w:rsidRPr="0032375E">
        <w:t>D</w:t>
      </w:r>
      <w:r w:rsidR="00CB5AF9" w:rsidRPr="0032375E">
        <w:t xml:space="preserve">istrict </w:t>
      </w:r>
      <w:r w:rsidR="00622FF6" w:rsidRPr="0032375E">
        <w:t>C</w:t>
      </w:r>
      <w:r w:rsidRPr="0032375E">
        <w:t xml:space="preserve">ouncil </w:t>
      </w:r>
      <w:r w:rsidR="00CB5AF9" w:rsidRPr="0032375E">
        <w:t xml:space="preserve">of the net total raised from the </w:t>
      </w:r>
      <w:r w:rsidR="00622FF6" w:rsidRPr="0032375E">
        <w:t>C</w:t>
      </w:r>
      <w:r w:rsidR="00CB5AF9" w:rsidRPr="0032375E">
        <w:t xml:space="preserve">ouncil </w:t>
      </w:r>
      <w:r w:rsidR="00622FF6" w:rsidRPr="0032375E">
        <w:t>T</w:t>
      </w:r>
      <w:r w:rsidR="00CB5AF9" w:rsidRPr="0032375E">
        <w:t>ax of £</w:t>
      </w:r>
      <w:r w:rsidR="00AA6A8D">
        <w:t>410,</w:t>
      </w:r>
      <w:r w:rsidR="009A51EB">
        <w:t>00</w:t>
      </w:r>
      <w:r w:rsidR="004D04A6">
        <w:t>2,748</w:t>
      </w:r>
      <w:r w:rsidR="00CB5AF9" w:rsidRPr="0032375E">
        <w:t>:</w:t>
      </w:r>
    </w:p>
    <w:p w14:paraId="651AEDE3" w14:textId="77777777" w:rsidR="00E57313" w:rsidRPr="0032375E" w:rsidRDefault="00E57313" w:rsidP="00E57313">
      <w:pPr>
        <w:pStyle w:val="BodyText"/>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2437"/>
      </w:tblGrid>
      <w:tr w:rsidR="00CB5AF9" w:rsidRPr="00314E5B" w14:paraId="73CE9D11" w14:textId="77777777" w:rsidTr="00B326AD">
        <w:trPr>
          <w:trHeight w:val="560"/>
        </w:trPr>
        <w:tc>
          <w:tcPr>
            <w:tcW w:w="4619" w:type="dxa"/>
            <w:shd w:val="clear" w:color="auto" w:fill="BFBFBF" w:themeFill="background1" w:themeFillShade="BF"/>
            <w:vAlign w:val="center"/>
          </w:tcPr>
          <w:p w14:paraId="5524FA13" w14:textId="7EF00E6F" w:rsidR="00B326AD" w:rsidRPr="00314E5B" w:rsidRDefault="00B326AD" w:rsidP="00B326AD">
            <w:pPr>
              <w:spacing w:line="276" w:lineRule="auto"/>
              <w:jc w:val="both"/>
              <w:rPr>
                <w:b/>
                <w:sz w:val="22"/>
                <w:szCs w:val="22"/>
              </w:rPr>
            </w:pPr>
            <w:r w:rsidRPr="00314E5B">
              <w:rPr>
                <w:b/>
                <w:sz w:val="22"/>
                <w:szCs w:val="22"/>
              </w:rPr>
              <w:t>District</w:t>
            </w:r>
          </w:p>
        </w:tc>
        <w:tc>
          <w:tcPr>
            <w:tcW w:w="2437" w:type="dxa"/>
            <w:shd w:val="clear" w:color="auto" w:fill="BFBFBF" w:themeFill="background1" w:themeFillShade="BF"/>
            <w:vAlign w:val="center"/>
          </w:tcPr>
          <w:p w14:paraId="069A983A" w14:textId="77777777" w:rsidR="00CB5AF9" w:rsidRPr="00314E5B" w:rsidRDefault="00CB5AF9" w:rsidP="00B326AD">
            <w:pPr>
              <w:spacing w:line="276" w:lineRule="auto"/>
              <w:jc w:val="center"/>
              <w:rPr>
                <w:b/>
                <w:sz w:val="22"/>
                <w:szCs w:val="22"/>
              </w:rPr>
            </w:pPr>
            <w:r w:rsidRPr="00314E5B">
              <w:rPr>
                <w:b/>
                <w:sz w:val="22"/>
                <w:szCs w:val="22"/>
              </w:rPr>
              <w:t>£</w:t>
            </w:r>
          </w:p>
        </w:tc>
      </w:tr>
      <w:tr w:rsidR="00314E5B" w:rsidRPr="00314E5B" w14:paraId="3200BBA0" w14:textId="77777777" w:rsidTr="00314E5B">
        <w:trPr>
          <w:trHeight w:val="355"/>
        </w:trPr>
        <w:tc>
          <w:tcPr>
            <w:tcW w:w="4619" w:type="dxa"/>
            <w:vAlign w:val="center"/>
          </w:tcPr>
          <w:p w14:paraId="586C97A0" w14:textId="77777777" w:rsidR="00314E5B" w:rsidRPr="00314E5B" w:rsidRDefault="00314E5B" w:rsidP="00314E5B">
            <w:pPr>
              <w:spacing w:line="276" w:lineRule="auto"/>
              <w:jc w:val="both"/>
              <w:rPr>
                <w:sz w:val="22"/>
                <w:szCs w:val="22"/>
              </w:rPr>
            </w:pPr>
            <w:r w:rsidRPr="00314E5B">
              <w:rPr>
                <w:sz w:val="22"/>
                <w:szCs w:val="22"/>
              </w:rPr>
              <w:t>Burnley</w:t>
            </w:r>
          </w:p>
        </w:tc>
        <w:tc>
          <w:tcPr>
            <w:tcW w:w="2437" w:type="dxa"/>
            <w:shd w:val="clear" w:color="auto" w:fill="auto"/>
            <w:vAlign w:val="center"/>
          </w:tcPr>
          <w:p w14:paraId="5901B81B" w14:textId="1E8DDF71" w:rsidR="00314E5B" w:rsidRPr="00314E5B" w:rsidRDefault="00314E5B" w:rsidP="00314E5B">
            <w:pPr>
              <w:spacing w:line="276" w:lineRule="auto"/>
              <w:jc w:val="right"/>
              <w:rPr>
                <w:sz w:val="22"/>
                <w:szCs w:val="22"/>
              </w:rPr>
            </w:pPr>
            <w:r w:rsidRPr="00314E5B">
              <w:rPr>
                <w:sz w:val="22"/>
                <w:szCs w:val="22"/>
              </w:rPr>
              <w:t xml:space="preserve"> 25,930,335 </w:t>
            </w:r>
          </w:p>
        </w:tc>
      </w:tr>
      <w:tr w:rsidR="00314E5B" w:rsidRPr="00314E5B" w14:paraId="23202A5F" w14:textId="77777777" w:rsidTr="00314E5B">
        <w:trPr>
          <w:trHeight w:val="355"/>
        </w:trPr>
        <w:tc>
          <w:tcPr>
            <w:tcW w:w="4619" w:type="dxa"/>
            <w:vAlign w:val="center"/>
          </w:tcPr>
          <w:p w14:paraId="612ABE77" w14:textId="77777777" w:rsidR="00314E5B" w:rsidRPr="00314E5B" w:rsidRDefault="00314E5B" w:rsidP="00314E5B">
            <w:pPr>
              <w:spacing w:line="276" w:lineRule="auto"/>
              <w:jc w:val="both"/>
              <w:rPr>
                <w:sz w:val="22"/>
                <w:szCs w:val="22"/>
              </w:rPr>
            </w:pPr>
            <w:r w:rsidRPr="00314E5B">
              <w:rPr>
                <w:sz w:val="22"/>
                <w:szCs w:val="22"/>
              </w:rPr>
              <w:t>Chorley</w:t>
            </w:r>
          </w:p>
        </w:tc>
        <w:tc>
          <w:tcPr>
            <w:tcW w:w="2437" w:type="dxa"/>
            <w:shd w:val="clear" w:color="auto" w:fill="auto"/>
            <w:vAlign w:val="center"/>
          </w:tcPr>
          <w:p w14:paraId="3FD9D72A" w14:textId="7ADD70D6" w:rsidR="00314E5B" w:rsidRPr="00314E5B" w:rsidRDefault="00314E5B" w:rsidP="00314E5B">
            <w:pPr>
              <w:spacing w:line="276" w:lineRule="auto"/>
              <w:jc w:val="right"/>
              <w:rPr>
                <w:sz w:val="22"/>
                <w:szCs w:val="22"/>
              </w:rPr>
            </w:pPr>
            <w:r w:rsidRPr="00314E5B">
              <w:rPr>
                <w:sz w:val="22"/>
                <w:szCs w:val="22"/>
              </w:rPr>
              <w:t xml:space="preserve"> 41,333,596 </w:t>
            </w:r>
          </w:p>
        </w:tc>
      </w:tr>
      <w:tr w:rsidR="00314E5B" w:rsidRPr="00314E5B" w14:paraId="7C0A2948" w14:textId="77777777" w:rsidTr="00314E5B">
        <w:trPr>
          <w:trHeight w:val="355"/>
        </w:trPr>
        <w:tc>
          <w:tcPr>
            <w:tcW w:w="4619" w:type="dxa"/>
            <w:vAlign w:val="center"/>
          </w:tcPr>
          <w:p w14:paraId="24063643" w14:textId="77777777" w:rsidR="00314E5B" w:rsidRPr="00314E5B" w:rsidRDefault="00314E5B" w:rsidP="00314E5B">
            <w:pPr>
              <w:spacing w:line="276" w:lineRule="auto"/>
              <w:jc w:val="both"/>
              <w:rPr>
                <w:sz w:val="22"/>
                <w:szCs w:val="22"/>
              </w:rPr>
            </w:pPr>
            <w:r w:rsidRPr="00314E5B">
              <w:rPr>
                <w:sz w:val="22"/>
                <w:szCs w:val="22"/>
              </w:rPr>
              <w:t>Fylde</w:t>
            </w:r>
          </w:p>
        </w:tc>
        <w:tc>
          <w:tcPr>
            <w:tcW w:w="2437" w:type="dxa"/>
            <w:shd w:val="clear" w:color="auto" w:fill="auto"/>
            <w:vAlign w:val="center"/>
          </w:tcPr>
          <w:p w14:paraId="1D5C6136" w14:textId="2CFCA599" w:rsidR="00314E5B" w:rsidRPr="00314E5B" w:rsidRDefault="00314E5B" w:rsidP="00314E5B">
            <w:pPr>
              <w:spacing w:line="276" w:lineRule="auto"/>
              <w:jc w:val="right"/>
              <w:rPr>
                <w:sz w:val="22"/>
                <w:szCs w:val="22"/>
              </w:rPr>
            </w:pPr>
            <w:r w:rsidRPr="00314E5B">
              <w:rPr>
                <w:sz w:val="22"/>
                <w:szCs w:val="22"/>
              </w:rPr>
              <w:t xml:space="preserve"> 33,773,700 </w:t>
            </w:r>
          </w:p>
        </w:tc>
      </w:tr>
      <w:tr w:rsidR="00314E5B" w:rsidRPr="00314E5B" w14:paraId="198BCDC5" w14:textId="77777777" w:rsidTr="00314E5B">
        <w:trPr>
          <w:trHeight w:val="355"/>
        </w:trPr>
        <w:tc>
          <w:tcPr>
            <w:tcW w:w="4619" w:type="dxa"/>
            <w:vAlign w:val="center"/>
          </w:tcPr>
          <w:p w14:paraId="2CDEB91A" w14:textId="77777777" w:rsidR="00314E5B" w:rsidRPr="00314E5B" w:rsidRDefault="00314E5B" w:rsidP="00314E5B">
            <w:pPr>
              <w:spacing w:line="276" w:lineRule="auto"/>
              <w:jc w:val="both"/>
              <w:rPr>
                <w:sz w:val="22"/>
                <w:szCs w:val="22"/>
              </w:rPr>
            </w:pPr>
            <w:r w:rsidRPr="00314E5B">
              <w:rPr>
                <w:sz w:val="22"/>
                <w:szCs w:val="22"/>
              </w:rPr>
              <w:t>Hyndburn</w:t>
            </w:r>
          </w:p>
        </w:tc>
        <w:tc>
          <w:tcPr>
            <w:tcW w:w="2437" w:type="dxa"/>
            <w:shd w:val="clear" w:color="auto" w:fill="auto"/>
            <w:vAlign w:val="center"/>
          </w:tcPr>
          <w:p w14:paraId="776FDD5A" w14:textId="38900785" w:rsidR="00314E5B" w:rsidRPr="00314E5B" w:rsidRDefault="00314E5B" w:rsidP="00314E5B">
            <w:pPr>
              <w:spacing w:line="276" w:lineRule="auto"/>
              <w:jc w:val="right"/>
              <w:rPr>
                <w:sz w:val="22"/>
                <w:szCs w:val="22"/>
              </w:rPr>
            </w:pPr>
            <w:r w:rsidRPr="00314E5B">
              <w:rPr>
                <w:sz w:val="22"/>
                <w:szCs w:val="22"/>
              </w:rPr>
              <w:t xml:space="preserve"> 22,426,903 </w:t>
            </w:r>
          </w:p>
        </w:tc>
      </w:tr>
      <w:tr w:rsidR="00314E5B" w:rsidRPr="00314E5B" w14:paraId="4762AE62" w14:textId="77777777" w:rsidTr="00314E5B">
        <w:trPr>
          <w:trHeight w:val="355"/>
        </w:trPr>
        <w:tc>
          <w:tcPr>
            <w:tcW w:w="4619" w:type="dxa"/>
            <w:vAlign w:val="center"/>
          </w:tcPr>
          <w:p w14:paraId="2361ACA6" w14:textId="77777777" w:rsidR="00314E5B" w:rsidRPr="00314E5B" w:rsidRDefault="00314E5B" w:rsidP="00314E5B">
            <w:pPr>
              <w:spacing w:line="276" w:lineRule="auto"/>
              <w:jc w:val="both"/>
              <w:rPr>
                <w:sz w:val="22"/>
                <w:szCs w:val="22"/>
              </w:rPr>
            </w:pPr>
            <w:r w:rsidRPr="00314E5B">
              <w:rPr>
                <w:sz w:val="22"/>
                <w:szCs w:val="22"/>
              </w:rPr>
              <w:t>Lancaster</w:t>
            </w:r>
          </w:p>
        </w:tc>
        <w:tc>
          <w:tcPr>
            <w:tcW w:w="2437" w:type="dxa"/>
            <w:shd w:val="clear" w:color="auto" w:fill="auto"/>
            <w:vAlign w:val="center"/>
          </w:tcPr>
          <w:p w14:paraId="75292AFA" w14:textId="4BA9AEAB" w:rsidR="00314E5B" w:rsidRPr="00314E5B" w:rsidRDefault="00314E5B" w:rsidP="00314E5B">
            <w:pPr>
              <w:spacing w:line="276" w:lineRule="auto"/>
              <w:jc w:val="right"/>
              <w:rPr>
                <w:sz w:val="22"/>
                <w:szCs w:val="22"/>
              </w:rPr>
            </w:pPr>
            <w:r w:rsidRPr="00314E5B">
              <w:rPr>
                <w:sz w:val="22"/>
                <w:szCs w:val="22"/>
              </w:rPr>
              <w:t xml:space="preserve"> 46,641,942 </w:t>
            </w:r>
          </w:p>
        </w:tc>
      </w:tr>
      <w:tr w:rsidR="00314E5B" w:rsidRPr="00314E5B" w14:paraId="3D8B75D1" w14:textId="77777777" w:rsidTr="00314E5B">
        <w:trPr>
          <w:trHeight w:val="355"/>
        </w:trPr>
        <w:tc>
          <w:tcPr>
            <w:tcW w:w="4619" w:type="dxa"/>
            <w:vAlign w:val="center"/>
          </w:tcPr>
          <w:p w14:paraId="2FC8BF4B" w14:textId="77777777" w:rsidR="00314E5B" w:rsidRPr="00314E5B" w:rsidRDefault="00314E5B" w:rsidP="00314E5B">
            <w:pPr>
              <w:spacing w:line="276" w:lineRule="auto"/>
              <w:jc w:val="both"/>
              <w:rPr>
                <w:sz w:val="22"/>
                <w:szCs w:val="22"/>
              </w:rPr>
            </w:pPr>
            <w:r w:rsidRPr="00314E5B">
              <w:rPr>
                <w:sz w:val="22"/>
                <w:szCs w:val="22"/>
              </w:rPr>
              <w:t>Pendle</w:t>
            </w:r>
          </w:p>
        </w:tc>
        <w:tc>
          <w:tcPr>
            <w:tcW w:w="2437" w:type="dxa"/>
            <w:shd w:val="clear" w:color="auto" w:fill="auto"/>
            <w:vAlign w:val="center"/>
          </w:tcPr>
          <w:p w14:paraId="435F63FB" w14:textId="2D3BC8C4" w:rsidR="00314E5B" w:rsidRPr="00314E5B" w:rsidRDefault="00314E5B" w:rsidP="00314E5B">
            <w:pPr>
              <w:spacing w:line="276" w:lineRule="auto"/>
              <w:jc w:val="right"/>
              <w:rPr>
                <w:sz w:val="22"/>
                <w:szCs w:val="22"/>
              </w:rPr>
            </w:pPr>
            <w:r w:rsidRPr="00314E5B">
              <w:rPr>
                <w:sz w:val="22"/>
                <w:szCs w:val="22"/>
              </w:rPr>
              <w:t xml:space="preserve"> 27,223,034 </w:t>
            </w:r>
          </w:p>
        </w:tc>
      </w:tr>
      <w:tr w:rsidR="00314E5B" w:rsidRPr="00314E5B" w14:paraId="45CDA6CE" w14:textId="77777777" w:rsidTr="00314E5B">
        <w:trPr>
          <w:trHeight w:val="355"/>
        </w:trPr>
        <w:tc>
          <w:tcPr>
            <w:tcW w:w="4619" w:type="dxa"/>
            <w:vAlign w:val="center"/>
          </w:tcPr>
          <w:p w14:paraId="2A33A067" w14:textId="77777777" w:rsidR="00314E5B" w:rsidRPr="00314E5B" w:rsidRDefault="00314E5B" w:rsidP="00314E5B">
            <w:pPr>
              <w:spacing w:line="276" w:lineRule="auto"/>
              <w:jc w:val="both"/>
              <w:rPr>
                <w:sz w:val="22"/>
                <w:szCs w:val="22"/>
              </w:rPr>
            </w:pPr>
            <w:r w:rsidRPr="00314E5B">
              <w:rPr>
                <w:sz w:val="22"/>
                <w:szCs w:val="22"/>
              </w:rPr>
              <w:t>Preston</w:t>
            </w:r>
          </w:p>
        </w:tc>
        <w:tc>
          <w:tcPr>
            <w:tcW w:w="2437" w:type="dxa"/>
            <w:shd w:val="clear" w:color="auto" w:fill="auto"/>
            <w:vAlign w:val="center"/>
          </w:tcPr>
          <w:p w14:paraId="199D6237" w14:textId="1A0090DD" w:rsidR="00314E5B" w:rsidRPr="00314E5B" w:rsidRDefault="00314E5B" w:rsidP="00314E5B">
            <w:pPr>
              <w:spacing w:line="276" w:lineRule="auto"/>
              <w:jc w:val="right"/>
              <w:rPr>
                <w:sz w:val="22"/>
                <w:szCs w:val="22"/>
              </w:rPr>
            </w:pPr>
            <w:r w:rsidRPr="00314E5B">
              <w:rPr>
                <w:sz w:val="22"/>
                <w:szCs w:val="22"/>
              </w:rPr>
              <w:t xml:space="preserve"> 41,359,771 </w:t>
            </w:r>
          </w:p>
        </w:tc>
      </w:tr>
      <w:tr w:rsidR="00314E5B" w:rsidRPr="00314E5B" w14:paraId="6961B70B" w14:textId="77777777" w:rsidTr="00314E5B">
        <w:trPr>
          <w:trHeight w:val="355"/>
        </w:trPr>
        <w:tc>
          <w:tcPr>
            <w:tcW w:w="4619" w:type="dxa"/>
            <w:vAlign w:val="center"/>
          </w:tcPr>
          <w:p w14:paraId="7D8509F8" w14:textId="77777777" w:rsidR="00314E5B" w:rsidRPr="00314E5B" w:rsidRDefault="00314E5B" w:rsidP="00314E5B">
            <w:pPr>
              <w:spacing w:line="276" w:lineRule="auto"/>
              <w:jc w:val="both"/>
              <w:rPr>
                <w:sz w:val="22"/>
                <w:szCs w:val="22"/>
              </w:rPr>
            </w:pPr>
            <w:r w:rsidRPr="00314E5B">
              <w:rPr>
                <w:sz w:val="22"/>
                <w:szCs w:val="22"/>
              </w:rPr>
              <w:t>Ribble Valley</w:t>
            </w:r>
          </w:p>
        </w:tc>
        <w:tc>
          <w:tcPr>
            <w:tcW w:w="2437" w:type="dxa"/>
            <w:shd w:val="clear" w:color="auto" w:fill="auto"/>
            <w:vAlign w:val="center"/>
          </w:tcPr>
          <w:p w14:paraId="73DC66D4" w14:textId="0EEBEC9D" w:rsidR="00314E5B" w:rsidRPr="00314E5B" w:rsidRDefault="00314E5B" w:rsidP="00314E5B">
            <w:pPr>
              <w:spacing w:line="276" w:lineRule="auto"/>
              <w:jc w:val="right"/>
              <w:rPr>
                <w:sz w:val="22"/>
                <w:szCs w:val="22"/>
              </w:rPr>
            </w:pPr>
            <w:r w:rsidRPr="00314E5B">
              <w:rPr>
                <w:sz w:val="22"/>
                <w:szCs w:val="22"/>
              </w:rPr>
              <w:t xml:space="preserve"> 25,875,117 </w:t>
            </w:r>
          </w:p>
        </w:tc>
      </w:tr>
      <w:tr w:rsidR="00314E5B" w:rsidRPr="00314E5B" w14:paraId="1F72B959" w14:textId="77777777" w:rsidTr="00314E5B">
        <w:trPr>
          <w:trHeight w:val="355"/>
        </w:trPr>
        <w:tc>
          <w:tcPr>
            <w:tcW w:w="4619" w:type="dxa"/>
            <w:vAlign w:val="center"/>
          </w:tcPr>
          <w:p w14:paraId="64B80DB7" w14:textId="77777777" w:rsidR="00314E5B" w:rsidRPr="00314E5B" w:rsidRDefault="00314E5B" w:rsidP="00314E5B">
            <w:pPr>
              <w:spacing w:line="276" w:lineRule="auto"/>
              <w:jc w:val="both"/>
              <w:rPr>
                <w:sz w:val="22"/>
                <w:szCs w:val="22"/>
              </w:rPr>
            </w:pPr>
            <w:r w:rsidRPr="00314E5B">
              <w:rPr>
                <w:sz w:val="22"/>
                <w:szCs w:val="22"/>
              </w:rPr>
              <w:t>Rossendale</w:t>
            </w:r>
          </w:p>
        </w:tc>
        <w:tc>
          <w:tcPr>
            <w:tcW w:w="2437" w:type="dxa"/>
            <w:shd w:val="clear" w:color="auto" w:fill="auto"/>
            <w:vAlign w:val="center"/>
          </w:tcPr>
          <w:p w14:paraId="03F314D4" w14:textId="54126695" w:rsidR="00314E5B" w:rsidRPr="00314E5B" w:rsidRDefault="00314E5B" w:rsidP="00314E5B">
            <w:pPr>
              <w:spacing w:line="276" w:lineRule="auto"/>
              <w:jc w:val="right"/>
              <w:rPr>
                <w:sz w:val="22"/>
                <w:szCs w:val="22"/>
              </w:rPr>
            </w:pPr>
            <w:r w:rsidRPr="00314E5B">
              <w:rPr>
                <w:sz w:val="22"/>
                <w:szCs w:val="22"/>
              </w:rPr>
              <w:t xml:space="preserve"> 23,118,895 </w:t>
            </w:r>
          </w:p>
        </w:tc>
      </w:tr>
      <w:tr w:rsidR="00314E5B" w:rsidRPr="00314E5B" w14:paraId="5002318B" w14:textId="77777777" w:rsidTr="00314E5B">
        <w:trPr>
          <w:trHeight w:val="355"/>
        </w:trPr>
        <w:tc>
          <w:tcPr>
            <w:tcW w:w="4619" w:type="dxa"/>
            <w:vAlign w:val="center"/>
          </w:tcPr>
          <w:p w14:paraId="0F3D44E1" w14:textId="77777777" w:rsidR="00314E5B" w:rsidRPr="00314E5B" w:rsidRDefault="00314E5B" w:rsidP="00314E5B">
            <w:pPr>
              <w:spacing w:line="276" w:lineRule="auto"/>
              <w:jc w:val="both"/>
              <w:rPr>
                <w:sz w:val="22"/>
                <w:szCs w:val="22"/>
              </w:rPr>
            </w:pPr>
            <w:r w:rsidRPr="00314E5B">
              <w:rPr>
                <w:sz w:val="22"/>
                <w:szCs w:val="22"/>
              </w:rPr>
              <w:t>South Ribble</w:t>
            </w:r>
          </w:p>
        </w:tc>
        <w:tc>
          <w:tcPr>
            <w:tcW w:w="2437" w:type="dxa"/>
            <w:shd w:val="clear" w:color="auto" w:fill="auto"/>
            <w:vAlign w:val="center"/>
          </w:tcPr>
          <w:p w14:paraId="3C883265" w14:textId="6480C712" w:rsidR="00314E5B" w:rsidRPr="00314E5B" w:rsidRDefault="00314E5B" w:rsidP="00314E5B">
            <w:pPr>
              <w:spacing w:line="276" w:lineRule="auto"/>
              <w:jc w:val="right"/>
              <w:rPr>
                <w:sz w:val="22"/>
                <w:szCs w:val="22"/>
              </w:rPr>
            </w:pPr>
            <w:r w:rsidRPr="00314E5B">
              <w:rPr>
                <w:sz w:val="22"/>
                <w:szCs w:val="22"/>
              </w:rPr>
              <w:t xml:space="preserve"> 40,903,456 </w:t>
            </w:r>
          </w:p>
        </w:tc>
      </w:tr>
      <w:tr w:rsidR="00314E5B" w:rsidRPr="00314E5B" w14:paraId="1B3C4A11" w14:textId="77777777" w:rsidTr="00314E5B">
        <w:trPr>
          <w:trHeight w:val="355"/>
        </w:trPr>
        <w:tc>
          <w:tcPr>
            <w:tcW w:w="4619" w:type="dxa"/>
            <w:vAlign w:val="center"/>
          </w:tcPr>
          <w:p w14:paraId="7F338E10" w14:textId="77777777" w:rsidR="00314E5B" w:rsidRPr="00314E5B" w:rsidRDefault="00314E5B" w:rsidP="00314E5B">
            <w:pPr>
              <w:spacing w:line="276" w:lineRule="auto"/>
              <w:jc w:val="both"/>
              <w:rPr>
                <w:sz w:val="22"/>
                <w:szCs w:val="22"/>
              </w:rPr>
            </w:pPr>
            <w:r w:rsidRPr="00314E5B">
              <w:rPr>
                <w:sz w:val="22"/>
                <w:szCs w:val="22"/>
              </w:rPr>
              <w:t>West Lancashire</w:t>
            </w:r>
          </w:p>
        </w:tc>
        <w:tc>
          <w:tcPr>
            <w:tcW w:w="2437" w:type="dxa"/>
            <w:shd w:val="clear" w:color="auto" w:fill="auto"/>
            <w:vAlign w:val="center"/>
          </w:tcPr>
          <w:p w14:paraId="77DE0394" w14:textId="35849F69" w:rsidR="00314E5B" w:rsidRPr="00314E5B" w:rsidRDefault="00314E5B" w:rsidP="00314E5B">
            <w:pPr>
              <w:spacing w:line="276" w:lineRule="auto"/>
              <w:jc w:val="right"/>
              <w:rPr>
                <w:sz w:val="22"/>
                <w:szCs w:val="22"/>
              </w:rPr>
            </w:pPr>
            <w:r w:rsidRPr="00314E5B">
              <w:rPr>
                <w:sz w:val="22"/>
                <w:szCs w:val="22"/>
              </w:rPr>
              <w:t xml:space="preserve"> 39,969,865 </w:t>
            </w:r>
          </w:p>
        </w:tc>
      </w:tr>
      <w:tr w:rsidR="00314E5B" w:rsidRPr="00314E5B" w14:paraId="3B300C46" w14:textId="77777777" w:rsidTr="00314E5B">
        <w:trPr>
          <w:trHeight w:val="355"/>
        </w:trPr>
        <w:tc>
          <w:tcPr>
            <w:tcW w:w="4619" w:type="dxa"/>
            <w:vAlign w:val="center"/>
          </w:tcPr>
          <w:p w14:paraId="72F2270B" w14:textId="77777777" w:rsidR="00314E5B" w:rsidRPr="00314E5B" w:rsidRDefault="00314E5B" w:rsidP="00314E5B">
            <w:pPr>
              <w:spacing w:line="276" w:lineRule="auto"/>
              <w:jc w:val="both"/>
              <w:rPr>
                <w:sz w:val="22"/>
                <w:szCs w:val="22"/>
              </w:rPr>
            </w:pPr>
            <w:r w:rsidRPr="00314E5B">
              <w:rPr>
                <w:sz w:val="22"/>
                <w:szCs w:val="22"/>
              </w:rPr>
              <w:t>Wyre</w:t>
            </w:r>
          </w:p>
        </w:tc>
        <w:tc>
          <w:tcPr>
            <w:tcW w:w="2437" w:type="dxa"/>
            <w:shd w:val="clear" w:color="auto" w:fill="auto"/>
            <w:vAlign w:val="center"/>
          </w:tcPr>
          <w:p w14:paraId="4ED0CC07" w14:textId="3E2BBBC7" w:rsidR="00314E5B" w:rsidRPr="00314E5B" w:rsidRDefault="00314E5B" w:rsidP="00314E5B">
            <w:pPr>
              <w:spacing w:line="276" w:lineRule="auto"/>
              <w:jc w:val="right"/>
              <w:rPr>
                <w:sz w:val="22"/>
                <w:szCs w:val="22"/>
              </w:rPr>
            </w:pPr>
            <w:r w:rsidRPr="00314E5B">
              <w:rPr>
                <w:sz w:val="22"/>
                <w:szCs w:val="22"/>
              </w:rPr>
              <w:t xml:space="preserve"> 41,446,135 </w:t>
            </w:r>
          </w:p>
        </w:tc>
      </w:tr>
      <w:tr w:rsidR="00314E5B" w:rsidRPr="00314E5B" w14:paraId="42193248" w14:textId="77777777" w:rsidTr="00314E5B">
        <w:trPr>
          <w:trHeight w:val="690"/>
        </w:trPr>
        <w:tc>
          <w:tcPr>
            <w:tcW w:w="4619" w:type="dxa"/>
            <w:shd w:val="clear" w:color="auto" w:fill="BFBFBF" w:themeFill="background1" w:themeFillShade="BF"/>
            <w:vAlign w:val="center"/>
          </w:tcPr>
          <w:p w14:paraId="3D53AA34" w14:textId="3BFB94CA" w:rsidR="00314E5B" w:rsidRPr="00314E5B" w:rsidRDefault="00314E5B" w:rsidP="00314E5B">
            <w:pPr>
              <w:spacing w:line="276" w:lineRule="auto"/>
              <w:jc w:val="both"/>
              <w:rPr>
                <w:b/>
                <w:sz w:val="22"/>
                <w:szCs w:val="22"/>
              </w:rPr>
            </w:pPr>
            <w:r w:rsidRPr="00314E5B">
              <w:rPr>
                <w:b/>
                <w:sz w:val="22"/>
                <w:szCs w:val="22"/>
              </w:rPr>
              <w:t>Total raised from the Council Tax</w:t>
            </w:r>
          </w:p>
        </w:tc>
        <w:tc>
          <w:tcPr>
            <w:tcW w:w="2437" w:type="dxa"/>
            <w:shd w:val="clear" w:color="auto" w:fill="BFBFBF" w:themeFill="background1" w:themeFillShade="BF"/>
            <w:vAlign w:val="center"/>
          </w:tcPr>
          <w:p w14:paraId="4DB55F63" w14:textId="6B8B0F86" w:rsidR="00314E5B" w:rsidRPr="00314E5B" w:rsidRDefault="00314E5B" w:rsidP="00314E5B">
            <w:pPr>
              <w:spacing w:line="276" w:lineRule="auto"/>
              <w:ind w:left="-126"/>
              <w:jc w:val="right"/>
              <w:rPr>
                <w:b/>
                <w:sz w:val="22"/>
                <w:szCs w:val="22"/>
              </w:rPr>
            </w:pPr>
            <w:r w:rsidRPr="00314E5B">
              <w:rPr>
                <w:b/>
                <w:sz w:val="22"/>
                <w:szCs w:val="22"/>
              </w:rPr>
              <w:t xml:space="preserve"> 410,002,749 </w:t>
            </w:r>
          </w:p>
        </w:tc>
      </w:tr>
    </w:tbl>
    <w:p w14:paraId="559B86FB" w14:textId="77777777" w:rsidR="0045344A" w:rsidRDefault="0045344A" w:rsidP="0045344A">
      <w:pPr>
        <w:ind w:left="720"/>
        <w:rPr>
          <w:b/>
        </w:rPr>
      </w:pPr>
    </w:p>
    <w:p w14:paraId="44B3DCB1" w14:textId="77777777" w:rsidR="00E57313" w:rsidRDefault="00E57313" w:rsidP="00FA42B2">
      <w:pPr>
        <w:pStyle w:val="BodyText"/>
      </w:pPr>
    </w:p>
    <w:p w14:paraId="43264AA4" w14:textId="77777777" w:rsidR="00DD1F36" w:rsidRPr="00E348F2" w:rsidRDefault="00DD1F36" w:rsidP="00DD1F36">
      <w:r>
        <w:t>Jennifer Mein</w:t>
      </w:r>
    </w:p>
    <w:p w14:paraId="2F0A5556" w14:textId="77777777" w:rsidR="00DD1F36" w:rsidRPr="00E348F2" w:rsidRDefault="00DD1F36" w:rsidP="00DD1F36">
      <w:r w:rsidRPr="00E348F2">
        <w:t>Leader of the Council</w:t>
      </w:r>
    </w:p>
    <w:p w14:paraId="3A78A354" w14:textId="77777777" w:rsidR="00DD1F36" w:rsidRDefault="00DD1F36" w:rsidP="00DD1F36">
      <w:r w:rsidRPr="00E348F2">
        <w:t>County Hall, Preston</w:t>
      </w:r>
    </w:p>
    <w:p w14:paraId="411E9440" w14:textId="77777777" w:rsidR="00B57F8B" w:rsidRPr="00E348F2" w:rsidRDefault="00B57F8B" w:rsidP="00B57F8B">
      <w:pPr>
        <w:jc w:val="both"/>
      </w:pPr>
    </w:p>
    <w:p w14:paraId="2C8AEC6E" w14:textId="77777777" w:rsidR="00CC6DCE" w:rsidRPr="00E348F2" w:rsidRDefault="00CC6DCE">
      <w:pPr>
        <w:jc w:val="both"/>
      </w:pPr>
    </w:p>
    <w:sectPr w:rsidR="00CC6DCE" w:rsidRPr="00E348F2" w:rsidSect="00166785">
      <w:footerReference w:type="even" r:id="rId10"/>
      <w:footerReference w:type="default" r:id="rId11"/>
      <w:pgSz w:w="11906" w:h="16838"/>
      <w:pgMar w:top="1440" w:right="1080" w:bottom="993"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BE0C" w14:textId="77777777" w:rsidR="00CC6DCE" w:rsidRDefault="00CC6DCE">
      <w:r>
        <w:separator/>
      </w:r>
    </w:p>
  </w:endnote>
  <w:endnote w:type="continuationSeparator" w:id="0">
    <w:p w14:paraId="149A43FE" w14:textId="77777777" w:rsidR="00CC6DCE" w:rsidRDefault="00C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D289" w14:textId="77777777" w:rsidR="00CC6DCE" w:rsidRDefault="00CC6DCE" w:rsidP="00F4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F8458" w14:textId="77777777" w:rsidR="00CC6DCE" w:rsidRDefault="00CC6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312A" w14:textId="7A3478CB" w:rsidR="00CC6DCE" w:rsidRDefault="00CC6DCE">
    <w:pPr>
      <w:pStyle w:val="Footer"/>
      <w:jc w:val="center"/>
    </w:pPr>
  </w:p>
  <w:p w14:paraId="5A1D4B65" w14:textId="77777777" w:rsidR="00CC6DCE" w:rsidRDefault="00CC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6F4C" w14:textId="77777777" w:rsidR="00CC6DCE" w:rsidRDefault="00CC6DCE">
      <w:r>
        <w:separator/>
      </w:r>
    </w:p>
  </w:footnote>
  <w:footnote w:type="continuationSeparator" w:id="0">
    <w:p w14:paraId="7B95B591" w14:textId="77777777" w:rsidR="00CC6DCE" w:rsidRDefault="00C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5435"/>
    <w:multiLevelType w:val="hybridMultilevel"/>
    <w:tmpl w:val="5D6A203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9A7F70"/>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4D73"/>
    <w:multiLevelType w:val="hybridMultilevel"/>
    <w:tmpl w:val="4D02999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3675D7"/>
    <w:multiLevelType w:val="hybridMultilevel"/>
    <w:tmpl w:val="342E3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85047"/>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20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D51256"/>
    <w:multiLevelType w:val="hybridMultilevel"/>
    <w:tmpl w:val="742E9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256BC"/>
    <w:multiLevelType w:val="singleLevel"/>
    <w:tmpl w:val="ECD8A304"/>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17A71DA7"/>
    <w:multiLevelType w:val="singleLevel"/>
    <w:tmpl w:val="0809000F"/>
    <w:lvl w:ilvl="0">
      <w:start w:val="1"/>
      <w:numFmt w:val="decimal"/>
      <w:lvlText w:val="%1."/>
      <w:lvlJc w:val="left"/>
      <w:pPr>
        <w:ind w:left="360" w:hanging="360"/>
      </w:pPr>
      <w:rPr>
        <w:rFonts w:hint="default"/>
      </w:rPr>
    </w:lvl>
  </w:abstractNum>
  <w:abstractNum w:abstractNumId="9" w15:restartNumberingAfterBreak="0">
    <w:nsid w:val="1881382B"/>
    <w:multiLevelType w:val="hybridMultilevel"/>
    <w:tmpl w:val="0A0821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E65734"/>
    <w:multiLevelType w:val="hybridMultilevel"/>
    <w:tmpl w:val="3B1AA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307763"/>
    <w:multiLevelType w:val="hybridMultilevel"/>
    <w:tmpl w:val="AB068E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B06A3"/>
    <w:multiLevelType w:val="hybridMultilevel"/>
    <w:tmpl w:val="7DD83B94"/>
    <w:lvl w:ilvl="0" w:tplc="592C436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732"/>
        </w:tabs>
        <w:ind w:left="732" w:hanging="360"/>
      </w:pPr>
      <w:rPr>
        <w:rFonts w:ascii="Courier New" w:hAnsi="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210F6510"/>
    <w:multiLevelType w:val="hybridMultilevel"/>
    <w:tmpl w:val="C84E06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031410"/>
    <w:multiLevelType w:val="hybridMultilevel"/>
    <w:tmpl w:val="C844811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28F08A6"/>
    <w:multiLevelType w:val="hybridMultilevel"/>
    <w:tmpl w:val="DF205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1183C"/>
    <w:multiLevelType w:val="hybridMultilevel"/>
    <w:tmpl w:val="71A2F34A"/>
    <w:lvl w:ilvl="0" w:tplc="592C436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732"/>
        </w:tabs>
        <w:ind w:left="732" w:hanging="360"/>
      </w:pPr>
      <w:rPr>
        <w:rFonts w:ascii="Courier New" w:hAnsi="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7" w15:restartNumberingAfterBreak="0">
    <w:nsid w:val="3CF71571"/>
    <w:multiLevelType w:val="hybridMultilevel"/>
    <w:tmpl w:val="306C27EC"/>
    <w:lvl w:ilvl="0" w:tplc="162CD8A0">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6287C"/>
    <w:multiLevelType w:val="singleLevel"/>
    <w:tmpl w:val="B25AC084"/>
    <w:lvl w:ilvl="0">
      <w:start w:val="1"/>
      <w:numFmt w:val="lowerLetter"/>
      <w:lvlText w:val="%1)"/>
      <w:lvlJc w:val="left"/>
      <w:pPr>
        <w:tabs>
          <w:tab w:val="num" w:pos="720"/>
        </w:tabs>
        <w:ind w:left="720" w:hanging="720"/>
      </w:pPr>
      <w:rPr>
        <w:rFonts w:cs="Times New Roman" w:hint="default"/>
      </w:rPr>
    </w:lvl>
  </w:abstractNum>
  <w:abstractNum w:abstractNumId="19" w15:restartNumberingAfterBreak="0">
    <w:nsid w:val="3DC6052B"/>
    <w:multiLevelType w:val="hybridMultilevel"/>
    <w:tmpl w:val="FD4C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F583B"/>
    <w:multiLevelType w:val="hybridMultilevel"/>
    <w:tmpl w:val="0658B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D33244"/>
    <w:multiLevelType w:val="hybridMultilevel"/>
    <w:tmpl w:val="51083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2C0FD7"/>
    <w:multiLevelType w:val="hybridMultilevel"/>
    <w:tmpl w:val="ABE85E3A"/>
    <w:lvl w:ilvl="0" w:tplc="880EF532">
      <w:start w:val="1"/>
      <w:numFmt w:val="bullet"/>
      <w:lvlText w:val=""/>
      <w:lvlJc w:val="left"/>
      <w:pPr>
        <w:tabs>
          <w:tab w:val="num" w:pos="357"/>
        </w:tabs>
        <w:ind w:left="357" w:hanging="35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45F89"/>
    <w:multiLevelType w:val="hybridMultilevel"/>
    <w:tmpl w:val="7D9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77E9F"/>
    <w:multiLevelType w:val="hybridMultilevel"/>
    <w:tmpl w:val="EF3EB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C02E42"/>
    <w:multiLevelType w:val="hybridMultilevel"/>
    <w:tmpl w:val="166A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42E52"/>
    <w:multiLevelType w:val="hybridMultilevel"/>
    <w:tmpl w:val="59428FAC"/>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59A83ADE"/>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048CF"/>
    <w:multiLevelType w:val="hybridMultilevel"/>
    <w:tmpl w:val="C86084A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D07E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4F694C"/>
    <w:multiLevelType w:val="hybridMultilevel"/>
    <w:tmpl w:val="939AF01E"/>
    <w:lvl w:ilvl="0" w:tplc="08090017">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AB9040A"/>
    <w:multiLevelType w:val="hybridMultilevel"/>
    <w:tmpl w:val="A1663CD4"/>
    <w:lvl w:ilvl="0" w:tplc="F9E675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A3404"/>
    <w:multiLevelType w:val="hybridMultilevel"/>
    <w:tmpl w:val="96827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F2A77C1"/>
    <w:multiLevelType w:val="hybridMultilevel"/>
    <w:tmpl w:val="CD34D7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12240A"/>
    <w:multiLevelType w:val="hybridMultilevel"/>
    <w:tmpl w:val="9E34A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C7826"/>
    <w:multiLevelType w:val="hybridMultilevel"/>
    <w:tmpl w:val="22F2F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F20E4B"/>
    <w:multiLevelType w:val="hybridMultilevel"/>
    <w:tmpl w:val="E534B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8"/>
  </w:num>
  <w:num w:numId="4">
    <w:abstractNumId w:val="5"/>
  </w:num>
  <w:num w:numId="5">
    <w:abstractNumId w:val="2"/>
  </w:num>
  <w:num w:numId="6">
    <w:abstractNumId w:val="29"/>
  </w:num>
  <w:num w:numId="7">
    <w:abstractNumId w:val="9"/>
  </w:num>
  <w:num w:numId="8">
    <w:abstractNumId w:val="10"/>
  </w:num>
  <w:num w:numId="9">
    <w:abstractNumId w:val="24"/>
  </w:num>
  <w:num w:numId="10">
    <w:abstractNumId w:val="26"/>
  </w:num>
  <w:num w:numId="11">
    <w:abstractNumId w:val="22"/>
  </w:num>
  <w:num w:numId="12">
    <w:abstractNumId w:val="15"/>
  </w:num>
  <w:num w:numId="13">
    <w:abstractNumId w:val="33"/>
  </w:num>
  <w:num w:numId="14">
    <w:abstractNumId w:val="11"/>
  </w:num>
  <w:num w:numId="15">
    <w:abstractNumId w:val="12"/>
  </w:num>
  <w:num w:numId="16">
    <w:abstractNumId w:val="16"/>
  </w:num>
  <w:num w:numId="17">
    <w:abstractNumId w:val="3"/>
  </w:num>
  <w:num w:numId="18">
    <w:abstractNumId w:val="34"/>
  </w:num>
  <w:num w:numId="19">
    <w:abstractNumId w:val="28"/>
  </w:num>
  <w:num w:numId="20">
    <w:abstractNumId w:val="0"/>
  </w:num>
  <w:num w:numId="21">
    <w:abstractNumId w:val="36"/>
  </w:num>
  <w:num w:numId="22">
    <w:abstractNumId w:val="13"/>
  </w:num>
  <w:num w:numId="23">
    <w:abstractNumId w:val="20"/>
  </w:num>
  <w:num w:numId="24">
    <w:abstractNumId w:val="21"/>
  </w:num>
  <w:num w:numId="25">
    <w:abstractNumId w:val="35"/>
  </w:num>
  <w:num w:numId="26">
    <w:abstractNumId w:val="31"/>
  </w:num>
  <w:num w:numId="27">
    <w:abstractNumId w:val="23"/>
  </w:num>
  <w:num w:numId="28">
    <w:abstractNumId w:val="32"/>
  </w:num>
  <w:num w:numId="29">
    <w:abstractNumId w:val="30"/>
  </w:num>
  <w:num w:numId="30">
    <w:abstractNumId w:val="17"/>
  </w:num>
  <w:num w:numId="31">
    <w:abstractNumId w:val="14"/>
  </w:num>
  <w:num w:numId="32">
    <w:abstractNumId w:val="27"/>
  </w:num>
  <w:num w:numId="33">
    <w:abstractNumId w:val="4"/>
  </w:num>
  <w:num w:numId="34">
    <w:abstractNumId w:val="1"/>
  </w:num>
  <w:num w:numId="35">
    <w:abstractNumId w:val="25"/>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F9"/>
    <w:rsid w:val="00004ACB"/>
    <w:rsid w:val="00007861"/>
    <w:rsid w:val="00007892"/>
    <w:rsid w:val="00011004"/>
    <w:rsid w:val="0001178E"/>
    <w:rsid w:val="00013899"/>
    <w:rsid w:val="0001488C"/>
    <w:rsid w:val="00014A60"/>
    <w:rsid w:val="00020F15"/>
    <w:rsid w:val="00030FE2"/>
    <w:rsid w:val="000425BE"/>
    <w:rsid w:val="00044745"/>
    <w:rsid w:val="00044DD0"/>
    <w:rsid w:val="00046E1C"/>
    <w:rsid w:val="000508F0"/>
    <w:rsid w:val="00050CEF"/>
    <w:rsid w:val="00066B3A"/>
    <w:rsid w:val="00073309"/>
    <w:rsid w:val="000829FF"/>
    <w:rsid w:val="00084383"/>
    <w:rsid w:val="000A1FC5"/>
    <w:rsid w:val="000A2BD7"/>
    <w:rsid w:val="000A31B5"/>
    <w:rsid w:val="000B49A2"/>
    <w:rsid w:val="000B6C4C"/>
    <w:rsid w:val="000E0723"/>
    <w:rsid w:val="000E78DA"/>
    <w:rsid w:val="000F4A06"/>
    <w:rsid w:val="0011652C"/>
    <w:rsid w:val="0011765D"/>
    <w:rsid w:val="00123B15"/>
    <w:rsid w:val="00124FEA"/>
    <w:rsid w:val="00126829"/>
    <w:rsid w:val="00132243"/>
    <w:rsid w:val="001340F2"/>
    <w:rsid w:val="001408B9"/>
    <w:rsid w:val="0015039C"/>
    <w:rsid w:val="00153C0C"/>
    <w:rsid w:val="00162708"/>
    <w:rsid w:val="00166785"/>
    <w:rsid w:val="00195BD0"/>
    <w:rsid w:val="001A02D9"/>
    <w:rsid w:val="001A58DE"/>
    <w:rsid w:val="001B5353"/>
    <w:rsid w:val="001D09BC"/>
    <w:rsid w:val="001D3835"/>
    <w:rsid w:val="001E18EE"/>
    <w:rsid w:val="001E56AF"/>
    <w:rsid w:val="001E7FF8"/>
    <w:rsid w:val="001F0E09"/>
    <w:rsid w:val="00202A46"/>
    <w:rsid w:val="00215D93"/>
    <w:rsid w:val="002223FC"/>
    <w:rsid w:val="0022395B"/>
    <w:rsid w:val="00253240"/>
    <w:rsid w:val="002601B7"/>
    <w:rsid w:val="00260C6D"/>
    <w:rsid w:val="002744EC"/>
    <w:rsid w:val="002808DC"/>
    <w:rsid w:val="00285750"/>
    <w:rsid w:val="002906B5"/>
    <w:rsid w:val="002A42EE"/>
    <w:rsid w:val="002B1FA3"/>
    <w:rsid w:val="002C03A6"/>
    <w:rsid w:val="002C0BD9"/>
    <w:rsid w:val="002C3DA0"/>
    <w:rsid w:val="002C43AE"/>
    <w:rsid w:val="002D07B6"/>
    <w:rsid w:val="002D5423"/>
    <w:rsid w:val="002E2919"/>
    <w:rsid w:val="00314E5B"/>
    <w:rsid w:val="00317CDB"/>
    <w:rsid w:val="003225B9"/>
    <w:rsid w:val="0032375E"/>
    <w:rsid w:val="00327A44"/>
    <w:rsid w:val="003340E3"/>
    <w:rsid w:val="003530BB"/>
    <w:rsid w:val="00361AA1"/>
    <w:rsid w:val="00364D08"/>
    <w:rsid w:val="0037442E"/>
    <w:rsid w:val="00374C1A"/>
    <w:rsid w:val="00376B03"/>
    <w:rsid w:val="00384BBE"/>
    <w:rsid w:val="00393E3E"/>
    <w:rsid w:val="00394005"/>
    <w:rsid w:val="003A0528"/>
    <w:rsid w:val="003A119C"/>
    <w:rsid w:val="003B0E96"/>
    <w:rsid w:val="003B15C1"/>
    <w:rsid w:val="003B3103"/>
    <w:rsid w:val="003B46B1"/>
    <w:rsid w:val="003F2910"/>
    <w:rsid w:val="004026B6"/>
    <w:rsid w:val="00411A08"/>
    <w:rsid w:val="004167BA"/>
    <w:rsid w:val="00421E0F"/>
    <w:rsid w:val="0042397F"/>
    <w:rsid w:val="00437266"/>
    <w:rsid w:val="0044570E"/>
    <w:rsid w:val="0045344A"/>
    <w:rsid w:val="00455503"/>
    <w:rsid w:val="0046513A"/>
    <w:rsid w:val="004936C5"/>
    <w:rsid w:val="004B3E78"/>
    <w:rsid w:val="004B4CF8"/>
    <w:rsid w:val="004C0722"/>
    <w:rsid w:val="004C2EA1"/>
    <w:rsid w:val="004C44D0"/>
    <w:rsid w:val="004C61E5"/>
    <w:rsid w:val="004D04A6"/>
    <w:rsid w:val="004D2FCB"/>
    <w:rsid w:val="004D6EF1"/>
    <w:rsid w:val="004F51B7"/>
    <w:rsid w:val="00512BB7"/>
    <w:rsid w:val="00514FB8"/>
    <w:rsid w:val="005150C1"/>
    <w:rsid w:val="0051797B"/>
    <w:rsid w:val="005301A7"/>
    <w:rsid w:val="00542AEC"/>
    <w:rsid w:val="0054352E"/>
    <w:rsid w:val="00556665"/>
    <w:rsid w:val="005618A3"/>
    <w:rsid w:val="00566B41"/>
    <w:rsid w:val="00572AEC"/>
    <w:rsid w:val="005746E4"/>
    <w:rsid w:val="00575402"/>
    <w:rsid w:val="00597365"/>
    <w:rsid w:val="005973C2"/>
    <w:rsid w:val="005A788B"/>
    <w:rsid w:val="005B448F"/>
    <w:rsid w:val="005D6434"/>
    <w:rsid w:val="005E0702"/>
    <w:rsid w:val="005E793C"/>
    <w:rsid w:val="005F25F3"/>
    <w:rsid w:val="006145F3"/>
    <w:rsid w:val="00620840"/>
    <w:rsid w:val="006209C2"/>
    <w:rsid w:val="00622FF6"/>
    <w:rsid w:val="00623214"/>
    <w:rsid w:val="00625E24"/>
    <w:rsid w:val="00626A82"/>
    <w:rsid w:val="006320F0"/>
    <w:rsid w:val="00632E10"/>
    <w:rsid w:val="006339C3"/>
    <w:rsid w:val="006430F0"/>
    <w:rsid w:val="006504CC"/>
    <w:rsid w:val="00655BC0"/>
    <w:rsid w:val="00663B7C"/>
    <w:rsid w:val="006652A9"/>
    <w:rsid w:val="00673E70"/>
    <w:rsid w:val="0067459E"/>
    <w:rsid w:val="00681C3B"/>
    <w:rsid w:val="00681C4B"/>
    <w:rsid w:val="00693E74"/>
    <w:rsid w:val="00695B16"/>
    <w:rsid w:val="006A1A3B"/>
    <w:rsid w:val="006D3734"/>
    <w:rsid w:val="006E349A"/>
    <w:rsid w:val="006E3E56"/>
    <w:rsid w:val="006E6523"/>
    <w:rsid w:val="00714215"/>
    <w:rsid w:val="00722079"/>
    <w:rsid w:val="007276AA"/>
    <w:rsid w:val="007276B9"/>
    <w:rsid w:val="007310D0"/>
    <w:rsid w:val="00734A1E"/>
    <w:rsid w:val="00735683"/>
    <w:rsid w:val="00742F67"/>
    <w:rsid w:val="00743200"/>
    <w:rsid w:val="00750F5B"/>
    <w:rsid w:val="00760A99"/>
    <w:rsid w:val="00761975"/>
    <w:rsid w:val="00764799"/>
    <w:rsid w:val="00776D4E"/>
    <w:rsid w:val="0078397B"/>
    <w:rsid w:val="007859B8"/>
    <w:rsid w:val="007870AE"/>
    <w:rsid w:val="00787A68"/>
    <w:rsid w:val="007A485A"/>
    <w:rsid w:val="007A4AF7"/>
    <w:rsid w:val="007A6F61"/>
    <w:rsid w:val="007C52F0"/>
    <w:rsid w:val="007D2821"/>
    <w:rsid w:val="007E382D"/>
    <w:rsid w:val="007F185B"/>
    <w:rsid w:val="007F6B81"/>
    <w:rsid w:val="0080070D"/>
    <w:rsid w:val="00804863"/>
    <w:rsid w:val="0081404B"/>
    <w:rsid w:val="008237B6"/>
    <w:rsid w:val="00832AC1"/>
    <w:rsid w:val="00832D41"/>
    <w:rsid w:val="008413EC"/>
    <w:rsid w:val="00843467"/>
    <w:rsid w:val="00843F0E"/>
    <w:rsid w:val="0084680B"/>
    <w:rsid w:val="00880ACA"/>
    <w:rsid w:val="00884C7C"/>
    <w:rsid w:val="00885414"/>
    <w:rsid w:val="008B221D"/>
    <w:rsid w:val="008B37AA"/>
    <w:rsid w:val="008B3919"/>
    <w:rsid w:val="008B45A0"/>
    <w:rsid w:val="008B758E"/>
    <w:rsid w:val="008C0814"/>
    <w:rsid w:val="008C2FB6"/>
    <w:rsid w:val="008D220A"/>
    <w:rsid w:val="008D6F01"/>
    <w:rsid w:val="008D7296"/>
    <w:rsid w:val="008E1285"/>
    <w:rsid w:val="008E1BFE"/>
    <w:rsid w:val="008E63B6"/>
    <w:rsid w:val="008E6D86"/>
    <w:rsid w:val="009001F0"/>
    <w:rsid w:val="0090707A"/>
    <w:rsid w:val="00926A1B"/>
    <w:rsid w:val="0093201B"/>
    <w:rsid w:val="009352FC"/>
    <w:rsid w:val="00941B14"/>
    <w:rsid w:val="00954968"/>
    <w:rsid w:val="00966A04"/>
    <w:rsid w:val="00971368"/>
    <w:rsid w:val="00973B8D"/>
    <w:rsid w:val="00983979"/>
    <w:rsid w:val="00985A15"/>
    <w:rsid w:val="0098682D"/>
    <w:rsid w:val="00987467"/>
    <w:rsid w:val="009A09D0"/>
    <w:rsid w:val="009A51EB"/>
    <w:rsid w:val="009B4B3A"/>
    <w:rsid w:val="009B664A"/>
    <w:rsid w:val="009D2F7F"/>
    <w:rsid w:val="009D7827"/>
    <w:rsid w:val="00A030CD"/>
    <w:rsid w:val="00A109BC"/>
    <w:rsid w:val="00A10B1B"/>
    <w:rsid w:val="00A23DC2"/>
    <w:rsid w:val="00A241DF"/>
    <w:rsid w:val="00A26BC9"/>
    <w:rsid w:val="00A303C8"/>
    <w:rsid w:val="00A33367"/>
    <w:rsid w:val="00A35E27"/>
    <w:rsid w:val="00A3658E"/>
    <w:rsid w:val="00A4316A"/>
    <w:rsid w:val="00A47524"/>
    <w:rsid w:val="00A551B5"/>
    <w:rsid w:val="00A626F0"/>
    <w:rsid w:val="00A7085F"/>
    <w:rsid w:val="00A727CA"/>
    <w:rsid w:val="00A743BC"/>
    <w:rsid w:val="00A77CA9"/>
    <w:rsid w:val="00A832B6"/>
    <w:rsid w:val="00A84542"/>
    <w:rsid w:val="00A90A35"/>
    <w:rsid w:val="00A91D74"/>
    <w:rsid w:val="00A9794D"/>
    <w:rsid w:val="00AA6A8D"/>
    <w:rsid w:val="00AB5F7E"/>
    <w:rsid w:val="00AC7A0F"/>
    <w:rsid w:val="00AD319A"/>
    <w:rsid w:val="00AF0867"/>
    <w:rsid w:val="00AF503A"/>
    <w:rsid w:val="00AF5311"/>
    <w:rsid w:val="00B132C0"/>
    <w:rsid w:val="00B13E24"/>
    <w:rsid w:val="00B22EE4"/>
    <w:rsid w:val="00B326AD"/>
    <w:rsid w:val="00B3476B"/>
    <w:rsid w:val="00B35022"/>
    <w:rsid w:val="00B36792"/>
    <w:rsid w:val="00B52198"/>
    <w:rsid w:val="00B52C98"/>
    <w:rsid w:val="00B57F8B"/>
    <w:rsid w:val="00B6560D"/>
    <w:rsid w:val="00B67CE2"/>
    <w:rsid w:val="00B8125E"/>
    <w:rsid w:val="00B83833"/>
    <w:rsid w:val="00B91CDE"/>
    <w:rsid w:val="00B93613"/>
    <w:rsid w:val="00BA3ED6"/>
    <w:rsid w:val="00BA7EA7"/>
    <w:rsid w:val="00BB173A"/>
    <w:rsid w:val="00BB247D"/>
    <w:rsid w:val="00BB44AF"/>
    <w:rsid w:val="00BB522D"/>
    <w:rsid w:val="00BE1843"/>
    <w:rsid w:val="00BE4BEE"/>
    <w:rsid w:val="00BF34D1"/>
    <w:rsid w:val="00BF4CBA"/>
    <w:rsid w:val="00C063C0"/>
    <w:rsid w:val="00C073A4"/>
    <w:rsid w:val="00C07C0E"/>
    <w:rsid w:val="00C13D40"/>
    <w:rsid w:val="00C20918"/>
    <w:rsid w:val="00C247F2"/>
    <w:rsid w:val="00C252DA"/>
    <w:rsid w:val="00C2557A"/>
    <w:rsid w:val="00C32CB2"/>
    <w:rsid w:val="00C53E95"/>
    <w:rsid w:val="00C55F83"/>
    <w:rsid w:val="00C5780E"/>
    <w:rsid w:val="00C616C4"/>
    <w:rsid w:val="00C61C8A"/>
    <w:rsid w:val="00C6757F"/>
    <w:rsid w:val="00C7632B"/>
    <w:rsid w:val="00C8464D"/>
    <w:rsid w:val="00C9114C"/>
    <w:rsid w:val="00C971DE"/>
    <w:rsid w:val="00CA72B8"/>
    <w:rsid w:val="00CB02E0"/>
    <w:rsid w:val="00CB4605"/>
    <w:rsid w:val="00CB5AF9"/>
    <w:rsid w:val="00CC15A7"/>
    <w:rsid w:val="00CC366E"/>
    <w:rsid w:val="00CC6DCE"/>
    <w:rsid w:val="00CD0DA2"/>
    <w:rsid w:val="00CD25C7"/>
    <w:rsid w:val="00CE1DE1"/>
    <w:rsid w:val="00CE47F2"/>
    <w:rsid w:val="00CE77D7"/>
    <w:rsid w:val="00CF2115"/>
    <w:rsid w:val="00CF3373"/>
    <w:rsid w:val="00D03513"/>
    <w:rsid w:val="00D04364"/>
    <w:rsid w:val="00D06DCD"/>
    <w:rsid w:val="00D1330A"/>
    <w:rsid w:val="00D14D5E"/>
    <w:rsid w:val="00D2061D"/>
    <w:rsid w:val="00D23DD7"/>
    <w:rsid w:val="00D25BE2"/>
    <w:rsid w:val="00D26FB6"/>
    <w:rsid w:val="00D32777"/>
    <w:rsid w:val="00D33E9C"/>
    <w:rsid w:val="00D41302"/>
    <w:rsid w:val="00D42E76"/>
    <w:rsid w:val="00D50907"/>
    <w:rsid w:val="00D50DDA"/>
    <w:rsid w:val="00D528C3"/>
    <w:rsid w:val="00D53658"/>
    <w:rsid w:val="00D611BC"/>
    <w:rsid w:val="00D615F6"/>
    <w:rsid w:val="00D70881"/>
    <w:rsid w:val="00D7203D"/>
    <w:rsid w:val="00D820AB"/>
    <w:rsid w:val="00D940A4"/>
    <w:rsid w:val="00DB54D4"/>
    <w:rsid w:val="00DC05F1"/>
    <w:rsid w:val="00DC4948"/>
    <w:rsid w:val="00DD1F36"/>
    <w:rsid w:val="00DF04C6"/>
    <w:rsid w:val="00DF4B26"/>
    <w:rsid w:val="00E04DDA"/>
    <w:rsid w:val="00E2028E"/>
    <w:rsid w:val="00E27588"/>
    <w:rsid w:val="00E27ACD"/>
    <w:rsid w:val="00E30647"/>
    <w:rsid w:val="00E348F2"/>
    <w:rsid w:val="00E45ADF"/>
    <w:rsid w:val="00E5729C"/>
    <w:rsid w:val="00E57313"/>
    <w:rsid w:val="00E625C1"/>
    <w:rsid w:val="00E64FE2"/>
    <w:rsid w:val="00E65BB2"/>
    <w:rsid w:val="00E7038A"/>
    <w:rsid w:val="00E76F60"/>
    <w:rsid w:val="00E7724E"/>
    <w:rsid w:val="00E8773F"/>
    <w:rsid w:val="00EB1D30"/>
    <w:rsid w:val="00EB2A51"/>
    <w:rsid w:val="00EB2F5A"/>
    <w:rsid w:val="00EC2B28"/>
    <w:rsid w:val="00EC58F5"/>
    <w:rsid w:val="00EC64AF"/>
    <w:rsid w:val="00ED277B"/>
    <w:rsid w:val="00EE07D9"/>
    <w:rsid w:val="00F04BD0"/>
    <w:rsid w:val="00F05850"/>
    <w:rsid w:val="00F15188"/>
    <w:rsid w:val="00F24F3A"/>
    <w:rsid w:val="00F25140"/>
    <w:rsid w:val="00F41BBF"/>
    <w:rsid w:val="00F45F31"/>
    <w:rsid w:val="00F4691A"/>
    <w:rsid w:val="00F706D1"/>
    <w:rsid w:val="00F73BC6"/>
    <w:rsid w:val="00F74CA2"/>
    <w:rsid w:val="00F902F8"/>
    <w:rsid w:val="00F967C1"/>
    <w:rsid w:val="00FA42B2"/>
    <w:rsid w:val="00FB5400"/>
    <w:rsid w:val="00FC19BA"/>
    <w:rsid w:val="00FC20AC"/>
    <w:rsid w:val="00FC33BC"/>
    <w:rsid w:val="00FD78D2"/>
    <w:rsid w:val="00FE1A63"/>
    <w:rsid w:val="00FF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96DEF"/>
  <w14:defaultImageDpi w14:val="0"/>
  <w15:docId w15:val="{139DD062-CD6D-4BD3-9C42-7BC25F7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F9"/>
    <w:rPr>
      <w:rFonts w:ascii="Arial" w:hAnsi="Arial"/>
      <w:sz w:val="24"/>
    </w:rPr>
  </w:style>
  <w:style w:type="paragraph" w:styleId="Heading1">
    <w:name w:val="heading 1"/>
    <w:basedOn w:val="Normal"/>
    <w:next w:val="Normal"/>
    <w:link w:val="Heading1Char"/>
    <w:uiPriority w:val="9"/>
    <w:qFormat/>
    <w:rsid w:val="00CB5AF9"/>
    <w:pPr>
      <w:keepNext/>
      <w:outlineLvl w:val="0"/>
    </w:pPr>
    <w:rPr>
      <w:b/>
      <w:lang w:eastAsia="en-US"/>
    </w:rPr>
  </w:style>
  <w:style w:type="paragraph" w:styleId="Heading3">
    <w:name w:val="heading 3"/>
    <w:basedOn w:val="Normal"/>
    <w:next w:val="Normal"/>
    <w:link w:val="Heading3Char"/>
    <w:uiPriority w:val="9"/>
    <w:qFormat/>
    <w:rsid w:val="00CB5AF9"/>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CB5AF9"/>
    <w:pPr>
      <w:keepNext/>
      <w:ind w:left="720"/>
      <w:outlineLvl w:val="3"/>
    </w:pPr>
    <w:rPr>
      <w:b/>
    </w:rPr>
  </w:style>
  <w:style w:type="paragraph" w:styleId="Heading5">
    <w:name w:val="heading 5"/>
    <w:basedOn w:val="Normal"/>
    <w:next w:val="Normal"/>
    <w:link w:val="Heading5Char"/>
    <w:uiPriority w:val="9"/>
    <w:qFormat/>
    <w:rsid w:val="00CB5AF9"/>
    <w:pPr>
      <w:keepNext/>
      <w:outlineLvl w:val="4"/>
    </w:pPr>
    <w:rPr>
      <w:rFonts w:ascii="Univers" w:hAnsi="Univers"/>
      <w:b/>
      <w:sz w:val="22"/>
      <w:u w:val="single"/>
      <w:lang w:eastAsia="en-US"/>
    </w:rPr>
  </w:style>
  <w:style w:type="paragraph" w:styleId="Heading6">
    <w:name w:val="heading 6"/>
    <w:basedOn w:val="Normal"/>
    <w:next w:val="Normal"/>
    <w:link w:val="Heading6Char"/>
    <w:uiPriority w:val="9"/>
    <w:qFormat/>
    <w:rsid w:val="00CB5AF9"/>
    <w:pPr>
      <w:keepNext/>
      <w:outlineLvl w:val="5"/>
    </w:pPr>
    <w:rPr>
      <w:rFonts w:ascii="Univers" w:hAnsi="Univers"/>
      <w:b/>
      <w:sz w:val="22"/>
      <w:lang w:eastAsia="en-US"/>
    </w:rPr>
  </w:style>
  <w:style w:type="paragraph" w:styleId="Heading7">
    <w:name w:val="heading 7"/>
    <w:basedOn w:val="Normal"/>
    <w:next w:val="Normal"/>
    <w:link w:val="Heading7Char"/>
    <w:uiPriority w:val="9"/>
    <w:qFormat/>
    <w:rsid w:val="00CB5AF9"/>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6434"/>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5D6434"/>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D6434"/>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5D6434"/>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5D6434"/>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5D6434"/>
    <w:rPr>
      <w:rFonts w:asciiTheme="minorHAnsi" w:eastAsiaTheme="minorEastAsia" w:hAnsiTheme="minorHAnsi" w:cs="Times New Roman"/>
      <w:sz w:val="24"/>
      <w:szCs w:val="24"/>
    </w:rPr>
  </w:style>
  <w:style w:type="paragraph" w:styleId="BodyText">
    <w:name w:val="Body Text"/>
    <w:basedOn w:val="Normal"/>
    <w:link w:val="BodyTextChar"/>
    <w:uiPriority w:val="99"/>
    <w:rsid w:val="00CB5AF9"/>
    <w:rPr>
      <w:lang w:eastAsia="en-US"/>
    </w:rPr>
  </w:style>
  <w:style w:type="character" w:customStyle="1" w:styleId="BodyTextChar">
    <w:name w:val="Body Text Char"/>
    <w:basedOn w:val="DefaultParagraphFont"/>
    <w:link w:val="BodyText"/>
    <w:uiPriority w:val="99"/>
    <w:semiHidden/>
    <w:locked/>
    <w:rsid w:val="005D6434"/>
    <w:rPr>
      <w:rFonts w:ascii="Arial" w:hAnsi="Arial" w:cs="Times New Roman"/>
      <w:sz w:val="24"/>
    </w:rPr>
  </w:style>
  <w:style w:type="paragraph" w:styleId="Header">
    <w:name w:val="header"/>
    <w:basedOn w:val="Normal"/>
    <w:link w:val="HeaderChar"/>
    <w:uiPriority w:val="99"/>
    <w:rsid w:val="00CB5AF9"/>
    <w:rPr>
      <w:rFonts w:ascii="Universal" w:hAnsi="Universal"/>
      <w:sz w:val="22"/>
      <w:lang w:eastAsia="en-US"/>
    </w:rPr>
  </w:style>
  <w:style w:type="character" w:customStyle="1" w:styleId="HeaderChar">
    <w:name w:val="Header Char"/>
    <w:basedOn w:val="DefaultParagraphFont"/>
    <w:link w:val="Header"/>
    <w:uiPriority w:val="99"/>
    <w:semiHidden/>
    <w:locked/>
    <w:rsid w:val="005D6434"/>
    <w:rPr>
      <w:rFonts w:ascii="Arial" w:hAnsi="Arial" w:cs="Times New Roman"/>
      <w:sz w:val="24"/>
    </w:rPr>
  </w:style>
  <w:style w:type="paragraph" w:styleId="Footer">
    <w:name w:val="footer"/>
    <w:basedOn w:val="Normal"/>
    <w:link w:val="FooterChar"/>
    <w:uiPriority w:val="99"/>
    <w:rsid w:val="00CB5AF9"/>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5D6434"/>
    <w:rPr>
      <w:rFonts w:ascii="Arial" w:hAnsi="Arial" w:cs="Times New Roman"/>
      <w:sz w:val="24"/>
    </w:rPr>
  </w:style>
  <w:style w:type="paragraph" w:styleId="BodyTextIndent">
    <w:name w:val="Body Text Indent"/>
    <w:basedOn w:val="Normal"/>
    <w:link w:val="BodyTextIndentChar"/>
    <w:uiPriority w:val="99"/>
    <w:rsid w:val="00CB5AF9"/>
    <w:rPr>
      <w:b/>
      <w:lang w:eastAsia="en-US"/>
    </w:rPr>
  </w:style>
  <w:style w:type="character" w:customStyle="1" w:styleId="BodyTextIndentChar">
    <w:name w:val="Body Text Indent Char"/>
    <w:basedOn w:val="DefaultParagraphFont"/>
    <w:link w:val="BodyTextIndent"/>
    <w:uiPriority w:val="99"/>
    <w:semiHidden/>
    <w:locked/>
    <w:rsid w:val="005D6434"/>
    <w:rPr>
      <w:rFonts w:ascii="Arial" w:hAnsi="Arial" w:cs="Times New Roman"/>
      <w:sz w:val="24"/>
    </w:rPr>
  </w:style>
  <w:style w:type="paragraph" w:styleId="BodyText3">
    <w:name w:val="Body Text 3"/>
    <w:basedOn w:val="Normal"/>
    <w:link w:val="BodyText3Char"/>
    <w:uiPriority w:val="99"/>
    <w:rsid w:val="00CB5AF9"/>
    <w:rPr>
      <w:b/>
    </w:rPr>
  </w:style>
  <w:style w:type="character" w:customStyle="1" w:styleId="BodyText3Char">
    <w:name w:val="Body Text 3 Char"/>
    <w:basedOn w:val="DefaultParagraphFont"/>
    <w:link w:val="BodyText3"/>
    <w:uiPriority w:val="99"/>
    <w:semiHidden/>
    <w:locked/>
    <w:rsid w:val="005D6434"/>
    <w:rPr>
      <w:rFonts w:ascii="Arial" w:hAnsi="Arial" w:cs="Times New Roman"/>
      <w:sz w:val="16"/>
      <w:szCs w:val="16"/>
    </w:rPr>
  </w:style>
  <w:style w:type="table" w:styleId="TableGrid">
    <w:name w:val="Table Grid"/>
    <w:basedOn w:val="TableNormal"/>
    <w:uiPriority w:val="59"/>
    <w:rsid w:val="00CB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CB5A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6434"/>
    <w:rPr>
      <w:rFonts w:ascii="Arial" w:hAnsi="Arial" w:cs="Times New Roman"/>
      <w:sz w:val="16"/>
      <w:szCs w:val="16"/>
    </w:rPr>
  </w:style>
  <w:style w:type="character" w:styleId="Hyperlink">
    <w:name w:val="Hyperlink"/>
    <w:basedOn w:val="DefaultParagraphFont"/>
    <w:uiPriority w:val="99"/>
    <w:rsid w:val="00A77CA9"/>
    <w:rPr>
      <w:rFonts w:cs="Times New Roman"/>
      <w:color w:val="0000FF"/>
      <w:u w:val="single"/>
    </w:rPr>
  </w:style>
  <w:style w:type="character" w:styleId="PageNumber">
    <w:name w:val="page number"/>
    <w:basedOn w:val="DefaultParagraphFont"/>
    <w:uiPriority w:val="99"/>
    <w:rsid w:val="00F45F31"/>
    <w:rPr>
      <w:rFonts w:cs="Times New Roman"/>
    </w:rPr>
  </w:style>
  <w:style w:type="paragraph" w:styleId="ListParagraph">
    <w:name w:val="List Paragraph"/>
    <w:basedOn w:val="Normal"/>
    <w:uiPriority w:val="34"/>
    <w:qFormat/>
    <w:rsid w:val="00066B3A"/>
    <w:pPr>
      <w:ind w:left="720"/>
    </w:pPr>
  </w:style>
  <w:style w:type="character" w:styleId="FollowedHyperlink">
    <w:name w:val="FollowedHyperlink"/>
    <w:basedOn w:val="DefaultParagraphFont"/>
    <w:uiPriority w:val="99"/>
    <w:semiHidden/>
    <w:unhideWhenUsed/>
    <w:rsid w:val="00BE1843"/>
    <w:rPr>
      <w:rFonts w:cs="Times New Roman"/>
      <w:color w:val="800080"/>
      <w:u w:val="single"/>
    </w:rPr>
  </w:style>
  <w:style w:type="paragraph" w:styleId="BalloonText">
    <w:name w:val="Balloon Text"/>
    <w:basedOn w:val="Normal"/>
    <w:link w:val="BalloonTextChar"/>
    <w:uiPriority w:val="99"/>
    <w:semiHidden/>
    <w:rsid w:val="008413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434"/>
    <w:rPr>
      <w:rFonts w:ascii="Tahoma" w:hAnsi="Tahoma" w:cs="Tahoma"/>
      <w:sz w:val="16"/>
      <w:szCs w:val="16"/>
    </w:rPr>
  </w:style>
  <w:style w:type="table" w:customStyle="1" w:styleId="TableGrid5">
    <w:name w:val="Table Grid5"/>
    <w:basedOn w:val="TableNormal"/>
    <w:next w:val="TableGrid"/>
    <w:uiPriority w:val="59"/>
    <w:rsid w:val="006E3E56"/>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61C8A"/>
    <w:rPr>
      <w:rFonts w:cs="Times New Roman"/>
      <w:sz w:val="16"/>
      <w:szCs w:val="16"/>
    </w:rPr>
  </w:style>
  <w:style w:type="paragraph" w:styleId="CommentText">
    <w:name w:val="annotation text"/>
    <w:basedOn w:val="Normal"/>
    <w:link w:val="CommentTextChar"/>
    <w:uiPriority w:val="99"/>
    <w:rsid w:val="00C61C8A"/>
    <w:rPr>
      <w:sz w:val="20"/>
    </w:rPr>
  </w:style>
  <w:style w:type="character" w:customStyle="1" w:styleId="CommentTextChar">
    <w:name w:val="Comment Text Char"/>
    <w:basedOn w:val="DefaultParagraphFont"/>
    <w:link w:val="CommentText"/>
    <w:uiPriority w:val="99"/>
    <w:locked/>
    <w:rsid w:val="00C61C8A"/>
    <w:rPr>
      <w:rFonts w:ascii="Arial" w:hAnsi="Arial" w:cs="Times New Roman"/>
    </w:rPr>
  </w:style>
  <w:style w:type="paragraph" w:styleId="CommentSubject">
    <w:name w:val="annotation subject"/>
    <w:basedOn w:val="CommentText"/>
    <w:next w:val="CommentText"/>
    <w:link w:val="CommentSubjectChar"/>
    <w:uiPriority w:val="99"/>
    <w:rsid w:val="00C61C8A"/>
    <w:rPr>
      <w:b/>
      <w:bCs/>
    </w:rPr>
  </w:style>
  <w:style w:type="character" w:customStyle="1" w:styleId="CommentSubjectChar">
    <w:name w:val="Comment Subject Char"/>
    <w:basedOn w:val="CommentTextChar"/>
    <w:link w:val="CommentSubject"/>
    <w:uiPriority w:val="99"/>
    <w:locked/>
    <w:rsid w:val="00C61C8A"/>
    <w:rPr>
      <w:rFonts w:ascii="Arial" w:hAnsi="Arial" w:cs="Times New Roman"/>
      <w:b/>
      <w:bCs/>
    </w:rPr>
  </w:style>
  <w:style w:type="table" w:customStyle="1" w:styleId="TableGrid51">
    <w:name w:val="Table Grid51"/>
    <w:basedOn w:val="TableNormal"/>
    <w:next w:val="TableGrid"/>
    <w:uiPriority w:val="59"/>
    <w:rsid w:val="00314E5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415">
      <w:bodyDiv w:val="1"/>
      <w:marLeft w:val="0"/>
      <w:marRight w:val="0"/>
      <w:marTop w:val="0"/>
      <w:marBottom w:val="0"/>
      <w:divBdr>
        <w:top w:val="none" w:sz="0" w:space="0" w:color="auto"/>
        <w:left w:val="none" w:sz="0" w:space="0" w:color="auto"/>
        <w:bottom w:val="none" w:sz="0" w:space="0" w:color="auto"/>
        <w:right w:val="none" w:sz="0" w:space="0" w:color="auto"/>
      </w:divBdr>
    </w:div>
    <w:div w:id="648556046">
      <w:bodyDiv w:val="1"/>
      <w:marLeft w:val="0"/>
      <w:marRight w:val="0"/>
      <w:marTop w:val="0"/>
      <w:marBottom w:val="0"/>
      <w:divBdr>
        <w:top w:val="none" w:sz="0" w:space="0" w:color="auto"/>
        <w:left w:val="none" w:sz="0" w:space="0" w:color="auto"/>
        <w:bottom w:val="none" w:sz="0" w:space="0" w:color="auto"/>
        <w:right w:val="none" w:sz="0" w:space="0" w:color="auto"/>
      </w:divBdr>
    </w:div>
    <w:div w:id="657538462">
      <w:marLeft w:val="0"/>
      <w:marRight w:val="0"/>
      <w:marTop w:val="0"/>
      <w:marBottom w:val="0"/>
      <w:divBdr>
        <w:top w:val="none" w:sz="0" w:space="0" w:color="auto"/>
        <w:left w:val="none" w:sz="0" w:space="0" w:color="auto"/>
        <w:bottom w:val="none" w:sz="0" w:space="0" w:color="auto"/>
        <w:right w:val="none" w:sz="0" w:space="0" w:color="auto"/>
      </w:divBdr>
    </w:div>
    <w:div w:id="657538463">
      <w:marLeft w:val="0"/>
      <w:marRight w:val="0"/>
      <w:marTop w:val="0"/>
      <w:marBottom w:val="0"/>
      <w:divBdr>
        <w:top w:val="none" w:sz="0" w:space="0" w:color="auto"/>
        <w:left w:val="none" w:sz="0" w:space="0" w:color="auto"/>
        <w:bottom w:val="none" w:sz="0" w:space="0" w:color="auto"/>
        <w:right w:val="none" w:sz="0" w:space="0" w:color="auto"/>
      </w:divBdr>
    </w:div>
    <w:div w:id="657538464">
      <w:marLeft w:val="0"/>
      <w:marRight w:val="0"/>
      <w:marTop w:val="0"/>
      <w:marBottom w:val="0"/>
      <w:divBdr>
        <w:top w:val="none" w:sz="0" w:space="0" w:color="auto"/>
        <w:left w:val="none" w:sz="0" w:space="0" w:color="auto"/>
        <w:bottom w:val="none" w:sz="0" w:space="0" w:color="auto"/>
        <w:right w:val="none" w:sz="0" w:space="0" w:color="auto"/>
      </w:divBdr>
    </w:div>
    <w:div w:id="657538465">
      <w:marLeft w:val="0"/>
      <w:marRight w:val="0"/>
      <w:marTop w:val="0"/>
      <w:marBottom w:val="0"/>
      <w:divBdr>
        <w:top w:val="none" w:sz="0" w:space="0" w:color="auto"/>
        <w:left w:val="none" w:sz="0" w:space="0" w:color="auto"/>
        <w:bottom w:val="none" w:sz="0" w:space="0" w:color="auto"/>
        <w:right w:val="none" w:sz="0" w:space="0" w:color="auto"/>
      </w:divBdr>
    </w:div>
    <w:div w:id="657538466">
      <w:marLeft w:val="0"/>
      <w:marRight w:val="0"/>
      <w:marTop w:val="0"/>
      <w:marBottom w:val="0"/>
      <w:divBdr>
        <w:top w:val="none" w:sz="0" w:space="0" w:color="auto"/>
        <w:left w:val="none" w:sz="0" w:space="0" w:color="auto"/>
        <w:bottom w:val="none" w:sz="0" w:space="0" w:color="auto"/>
        <w:right w:val="none" w:sz="0" w:space="0" w:color="auto"/>
      </w:divBdr>
    </w:div>
    <w:div w:id="17120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on.lawrens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uncil.lancashire.gov.uk/ieListMeetings.aspx?Committee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DFD4-2A11-41DE-B676-F9D58D33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755</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of the County Council</vt:lpstr>
    </vt:vector>
  </TitlesOfParts>
  <Company>Lancashire County Council</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County Council</dc:title>
  <dc:subject/>
  <dc:creator>Corporate</dc:creator>
  <cp:keywords/>
  <dc:description/>
  <cp:lastModifiedBy>Mulligan, Janet</cp:lastModifiedBy>
  <cp:revision>4</cp:revision>
  <cp:lastPrinted>2016-02-02T10:26:00Z</cp:lastPrinted>
  <dcterms:created xsi:type="dcterms:W3CDTF">2016-02-04T09:24:00Z</dcterms:created>
  <dcterms:modified xsi:type="dcterms:W3CDTF">2016-02-04T10:28:00Z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